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9716"/>
      </w:tblGrid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Pr="004E3197" w:rsidRDefault="0012078C" w:rsidP="00D14622">
            <w:pPr>
              <w:ind w:right="317"/>
              <w:jc w:val="center"/>
            </w:pPr>
            <w:r>
              <w:t xml:space="preserve"> </w:t>
            </w:r>
            <w:r w:rsidR="0022697C" w:rsidRPr="004E3197">
              <w:t>РОССИЙСКАЯ  ФЕДЕРАЦИЯ</w:t>
            </w:r>
          </w:p>
          <w:p w:rsidR="0022697C" w:rsidRPr="004E3197" w:rsidRDefault="0022697C" w:rsidP="00D14622">
            <w:pPr>
              <w:ind w:right="317"/>
              <w:jc w:val="center"/>
            </w:pPr>
            <w:r w:rsidRPr="004E3197">
              <w:t>ИРКУТСКАЯ ОБЛАСТЬ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Pr="004E3197" w:rsidRDefault="0022697C" w:rsidP="00D14622">
            <w:pPr>
              <w:jc w:val="center"/>
            </w:pPr>
          </w:p>
          <w:p w:rsidR="0022697C" w:rsidRPr="004E3197" w:rsidRDefault="0022697C" w:rsidP="006C5BC5">
            <w:pPr>
              <w:jc w:val="center"/>
            </w:pPr>
            <w:r w:rsidRPr="004E3197">
              <w:t>КОНТРОЛЬНО-СЧЕТНАЯ  ПАЛАТА  ГОРОД</w:t>
            </w:r>
            <w:r w:rsidR="006C5BC5">
              <w:t>А</w:t>
            </w:r>
            <w:r w:rsidRPr="004E3197">
              <w:t xml:space="preserve"> </w:t>
            </w:r>
            <w:r w:rsidR="00EA4B59" w:rsidRPr="004E3197">
              <w:t>Т</w:t>
            </w:r>
            <w:r w:rsidR="006C5BC5">
              <w:t>УЛУНА</w:t>
            </w:r>
          </w:p>
        </w:tc>
      </w:tr>
      <w:tr w:rsidR="0022697C" w:rsidTr="006F20C0">
        <w:trPr>
          <w:cantSplit/>
        </w:trPr>
        <w:tc>
          <w:tcPr>
            <w:tcW w:w="9716" w:type="dxa"/>
          </w:tcPr>
          <w:p w:rsidR="0022697C" w:rsidRDefault="0022697C" w:rsidP="00D14622">
            <w:pPr>
              <w:jc w:val="center"/>
              <w:rPr>
                <w:b/>
              </w:rPr>
            </w:pPr>
          </w:p>
        </w:tc>
      </w:tr>
      <w:tr w:rsidR="0022697C" w:rsidTr="006F20C0">
        <w:trPr>
          <w:cantSplit/>
        </w:trPr>
        <w:tc>
          <w:tcPr>
            <w:tcW w:w="9716" w:type="dxa"/>
            <w:hideMark/>
          </w:tcPr>
          <w:p w:rsidR="0022697C" w:rsidRDefault="0022697C" w:rsidP="00D14622">
            <w:pPr>
              <w:ind w:lef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5CC3EE" wp14:editId="1DD54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5600700" cy="0"/>
                      <wp:effectExtent l="19050" t="23495" r="19050" b="241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22697C" w:rsidRDefault="0022697C" w:rsidP="0022697C">
      <w:pPr>
        <w:jc w:val="both"/>
        <w:rPr>
          <w:rFonts w:ascii="Calibri" w:hAnsi="Calibri"/>
          <w:sz w:val="22"/>
        </w:rPr>
      </w:pPr>
    </w:p>
    <w:p w:rsidR="00657E6D" w:rsidRDefault="00657E6D" w:rsidP="0022697C">
      <w:pPr>
        <w:jc w:val="both"/>
      </w:pPr>
    </w:p>
    <w:p w:rsidR="0022697C" w:rsidRPr="004C7362" w:rsidRDefault="00FA6391" w:rsidP="00332A07">
      <w:pPr>
        <w:jc w:val="center"/>
        <w:rPr>
          <w:b/>
        </w:rPr>
      </w:pPr>
      <w:r>
        <w:rPr>
          <w:b/>
        </w:rPr>
        <w:t>ЗАКЛЮЧЕНИЕ</w:t>
      </w:r>
      <w:r w:rsidR="004C7362" w:rsidRPr="004C7362">
        <w:rPr>
          <w:b/>
        </w:rPr>
        <w:t xml:space="preserve"> </w:t>
      </w:r>
      <w:r w:rsidR="004C7362" w:rsidRPr="00252601">
        <w:rPr>
          <w:b/>
        </w:rPr>
        <w:t xml:space="preserve">№ </w:t>
      </w:r>
      <w:r w:rsidR="00052739" w:rsidRPr="00252601">
        <w:rPr>
          <w:b/>
        </w:rPr>
        <w:t>1</w:t>
      </w:r>
      <w:r w:rsidR="00252601" w:rsidRPr="00252601">
        <w:rPr>
          <w:b/>
        </w:rPr>
        <w:t>8</w:t>
      </w:r>
      <w:r w:rsidR="004C7362" w:rsidRPr="00252601">
        <w:rPr>
          <w:b/>
        </w:rPr>
        <w:t>-э</w:t>
      </w:r>
    </w:p>
    <w:p w:rsidR="00781AA0" w:rsidRDefault="004C7362" w:rsidP="0022697C">
      <w:pPr>
        <w:jc w:val="center"/>
      </w:pPr>
      <w:r>
        <w:t xml:space="preserve">по результатам </w:t>
      </w:r>
      <w:proofErr w:type="gramStart"/>
      <w:r>
        <w:t>экспертизы проекта решения Думы городского округа</w:t>
      </w:r>
      <w:proofErr w:type="gramEnd"/>
      <w:r>
        <w:t xml:space="preserve"> </w:t>
      </w:r>
    </w:p>
    <w:p w:rsidR="00B32B33" w:rsidRDefault="00D70262" w:rsidP="0022697C">
      <w:pPr>
        <w:jc w:val="center"/>
      </w:pPr>
      <w:r w:rsidRPr="00D70262">
        <w:t xml:space="preserve">«О </w:t>
      </w:r>
      <w:r w:rsidR="005534A9">
        <w:t>внесении изменений в решение Ду</w:t>
      </w:r>
      <w:r w:rsidR="00B32B33">
        <w:t>мы города Тулуна от 28.10.2005</w:t>
      </w:r>
      <w:r w:rsidR="005534A9">
        <w:t xml:space="preserve"> № 60-ДГ </w:t>
      </w:r>
    </w:p>
    <w:p w:rsidR="00B32B33" w:rsidRDefault="005534A9" w:rsidP="0022697C">
      <w:pPr>
        <w:jc w:val="center"/>
      </w:pPr>
      <w:r>
        <w:t xml:space="preserve">«Об установлении земельного налога на территории муниципального образования – </w:t>
      </w:r>
    </w:p>
    <w:p w:rsidR="00AA720C" w:rsidRDefault="005534A9" w:rsidP="0022697C">
      <w:pPr>
        <w:jc w:val="center"/>
      </w:pPr>
      <w:r>
        <w:t>«город Тулун</w:t>
      </w:r>
      <w:r w:rsidR="00D152D4">
        <w:t>»</w:t>
      </w:r>
    </w:p>
    <w:p w:rsidR="00D152D4" w:rsidRDefault="00D152D4" w:rsidP="0022697C">
      <w:pPr>
        <w:jc w:val="center"/>
      </w:pPr>
    </w:p>
    <w:p w:rsidR="00AD69F0" w:rsidRPr="00AA720C" w:rsidRDefault="00AD69F0" w:rsidP="0022697C">
      <w:pPr>
        <w:jc w:val="center"/>
      </w:pPr>
    </w:p>
    <w:p w:rsidR="004C7362" w:rsidRDefault="000B0B92" w:rsidP="004C7362">
      <w:pPr>
        <w:jc w:val="both"/>
      </w:pPr>
      <w:r>
        <w:t xml:space="preserve">город </w:t>
      </w:r>
      <w:r w:rsidR="004C7362" w:rsidRPr="003A2015">
        <w:t xml:space="preserve">Тулун                                                                                </w:t>
      </w:r>
      <w:r w:rsidR="00052739">
        <w:t xml:space="preserve">           </w:t>
      </w:r>
      <w:r>
        <w:t xml:space="preserve">  </w:t>
      </w:r>
      <w:r w:rsidR="00252601">
        <w:t>«18</w:t>
      </w:r>
      <w:r w:rsidR="00091335">
        <w:t>»</w:t>
      </w:r>
      <w:r w:rsidR="00052739">
        <w:t xml:space="preserve"> сентября 2025</w:t>
      </w:r>
      <w:r w:rsidR="00A74E88">
        <w:t xml:space="preserve"> </w:t>
      </w:r>
      <w:r w:rsidR="004C7362">
        <w:t>года</w:t>
      </w:r>
    </w:p>
    <w:p w:rsidR="004A4660" w:rsidRDefault="004A4660" w:rsidP="004C7362">
      <w:pPr>
        <w:jc w:val="both"/>
      </w:pPr>
    </w:p>
    <w:p w:rsidR="00FE7550" w:rsidRDefault="0022697C" w:rsidP="00B0376E">
      <w:pPr>
        <w:jc w:val="both"/>
      </w:pPr>
      <w:r>
        <w:tab/>
      </w:r>
      <w:r w:rsidR="004C7362">
        <w:t>Настоящее заключение подготовлено</w:t>
      </w:r>
      <w:r w:rsidR="00B0376E">
        <w:t xml:space="preserve"> на проект решения Думы городского округа </w:t>
      </w:r>
      <w:r w:rsidR="00163955">
        <w:t xml:space="preserve">муниципального образования – «город Тулун» </w:t>
      </w:r>
      <w:r w:rsidR="005534A9" w:rsidRPr="00D254B7">
        <w:t>«О внесении изменений в решение Ду</w:t>
      </w:r>
      <w:r w:rsidR="00AD69F0">
        <w:t>мы города Тулуна от 28.10.2005</w:t>
      </w:r>
      <w:r w:rsidR="005534A9" w:rsidRPr="00D254B7">
        <w:t xml:space="preserve"> № 60-ДГ «Об установлении земельного налога на территории муниципального образования – «город Тулун»</w:t>
      </w:r>
      <w:r w:rsidR="005534A9">
        <w:rPr>
          <w:i/>
        </w:rPr>
        <w:t xml:space="preserve"> </w:t>
      </w:r>
      <w:r w:rsidR="00781AA0">
        <w:rPr>
          <w:i/>
        </w:rPr>
        <w:t xml:space="preserve"> </w:t>
      </w:r>
      <w:r w:rsidR="004C7362">
        <w:t>на основании Положения о Контрольно-счетной палате город</w:t>
      </w:r>
      <w:r w:rsidR="00D254B7">
        <w:t>а</w:t>
      </w:r>
      <w:r w:rsidR="004C7362">
        <w:t xml:space="preserve"> Ту</w:t>
      </w:r>
      <w:r w:rsidR="00D254B7">
        <w:t>луна</w:t>
      </w:r>
      <w:r w:rsidR="001C0F66">
        <w:t>,</w:t>
      </w:r>
      <w:r w:rsidR="00D254B7" w:rsidRPr="00D254B7">
        <w:t xml:space="preserve"> утвержденного решением Думы городского</w:t>
      </w:r>
      <w:r w:rsidR="00AD12A6">
        <w:t xml:space="preserve"> округа от 28.10.2021 № 24-ДГО,</w:t>
      </w:r>
      <w:r w:rsidR="00D254B7" w:rsidRPr="00D254B7">
        <w:t xml:space="preserve"> в соответствии с обращени</w:t>
      </w:r>
      <w:r w:rsidR="001621DA">
        <w:t>ем  Думы городского округа от 15.09.2025 № 2</w:t>
      </w:r>
      <w:r w:rsidR="00AD12A6">
        <w:t>1</w:t>
      </w:r>
      <w:r w:rsidR="001621DA">
        <w:t>0</w:t>
      </w:r>
      <w:r w:rsidR="00D254B7" w:rsidRPr="00D254B7">
        <w:t>.</w:t>
      </w:r>
      <w:r w:rsidR="001C0F66">
        <w:t xml:space="preserve"> </w:t>
      </w:r>
    </w:p>
    <w:p w:rsidR="007644F5" w:rsidRDefault="00B0376E" w:rsidP="001D7C17">
      <w:pPr>
        <w:jc w:val="both"/>
      </w:pPr>
      <w:r>
        <w:tab/>
      </w:r>
    </w:p>
    <w:p w:rsidR="00B0376E" w:rsidRPr="00506A86" w:rsidRDefault="00B0376E" w:rsidP="00B0376E">
      <w:pPr>
        <w:pStyle w:val="a3"/>
        <w:numPr>
          <w:ilvl w:val="0"/>
          <w:numId w:val="2"/>
        </w:numPr>
        <w:jc w:val="center"/>
        <w:rPr>
          <w:b/>
        </w:rPr>
      </w:pPr>
      <w:r w:rsidRPr="00506A86">
        <w:rPr>
          <w:b/>
        </w:rPr>
        <w:t>Общие положения</w:t>
      </w:r>
    </w:p>
    <w:p w:rsidR="002D0B7A" w:rsidRDefault="002D0B7A" w:rsidP="002D0B7A">
      <w:pPr>
        <w:jc w:val="center"/>
      </w:pPr>
    </w:p>
    <w:p w:rsidR="00D82A96" w:rsidRDefault="007A4DD7" w:rsidP="005534A9">
      <w:pPr>
        <w:jc w:val="both"/>
      </w:pPr>
      <w:r>
        <w:tab/>
      </w:r>
      <w:r w:rsidR="00D82A96">
        <w:t>Статьей 5</w:t>
      </w:r>
      <w:r w:rsidR="00D82A96">
        <w:t xml:space="preserve"> </w:t>
      </w:r>
      <w:r w:rsidR="00D82A96" w:rsidRPr="00D82A96">
        <w:t>Налогового кодекса РФ</w:t>
      </w:r>
      <w:r w:rsidR="00DB43D3" w:rsidRPr="00DB43D3">
        <w:t xml:space="preserve"> </w:t>
      </w:r>
      <w:r w:rsidR="00DB43D3">
        <w:t>установлено д</w:t>
      </w:r>
      <w:r w:rsidR="00DB43D3" w:rsidRPr="00DB43D3">
        <w:t>ействие актов законодательства о налогах и сборах во времени</w:t>
      </w:r>
      <w:r w:rsidR="00DB43D3">
        <w:t>.</w:t>
      </w:r>
    </w:p>
    <w:p w:rsidR="00D82A96" w:rsidRDefault="00D82A96" w:rsidP="005534A9">
      <w:pPr>
        <w:jc w:val="both"/>
      </w:pPr>
      <w:r>
        <w:t xml:space="preserve">           Статьей 12 </w:t>
      </w:r>
      <w:r w:rsidRPr="00D82A96">
        <w:t xml:space="preserve">Налогового кодекса РФ </w:t>
      </w:r>
      <w:r>
        <w:t>установлены в</w:t>
      </w:r>
      <w:r w:rsidRPr="00D82A96">
        <w:t xml:space="preserve">иды налогов и </w:t>
      </w:r>
      <w:r>
        <w:t>сборов в Российской Федерации, а так же п</w:t>
      </w:r>
      <w:r w:rsidRPr="00D82A96">
        <w:t>олномочия законодательных органов субъектов Российской Федерации, представительных органов муниципальных образований, представительного органа федеральной территории "Сириус" по установлению налогов и сборов</w:t>
      </w:r>
      <w:r>
        <w:t>.</w:t>
      </w:r>
    </w:p>
    <w:p w:rsidR="005534A9" w:rsidRDefault="005534A9" w:rsidP="005534A9">
      <w:pPr>
        <w:jc w:val="both"/>
        <w:rPr>
          <w:color w:val="000000" w:themeColor="text1"/>
        </w:rPr>
      </w:pPr>
      <w:r>
        <w:tab/>
        <w:t>В соответствии со статьей 15 Налогового кодекса РФ к</w:t>
      </w:r>
      <w:r w:rsidRPr="005534A9">
        <w:t xml:space="preserve"> местным налогам и сборам относятся</w:t>
      </w:r>
      <w:r w:rsidRPr="005534A9">
        <w:rPr>
          <w:color w:val="000000" w:themeColor="text1"/>
        </w:rPr>
        <w:t xml:space="preserve">:  </w:t>
      </w:r>
      <w:hyperlink r:id="rId9" w:history="1">
        <w:r w:rsidRPr="00477B7C">
          <w:rPr>
            <w:rStyle w:val="aa"/>
            <w:b/>
            <w:i/>
            <w:color w:val="000000" w:themeColor="text1"/>
            <w:u w:val="none"/>
          </w:rPr>
          <w:t>земельный налог</w:t>
        </w:r>
      </w:hyperlink>
      <w:r w:rsidRPr="005534A9">
        <w:rPr>
          <w:color w:val="000000" w:themeColor="text1"/>
        </w:rPr>
        <w:t xml:space="preserve">;  </w:t>
      </w:r>
      <w:hyperlink r:id="rId10" w:history="1">
        <w:r w:rsidRPr="005534A9">
          <w:rPr>
            <w:rStyle w:val="aa"/>
            <w:color w:val="000000" w:themeColor="text1"/>
            <w:u w:val="none"/>
          </w:rPr>
          <w:t>налог на имущество физических лиц</w:t>
        </w:r>
      </w:hyperlink>
      <w:r w:rsidRPr="005534A9">
        <w:rPr>
          <w:color w:val="000000" w:themeColor="text1"/>
        </w:rPr>
        <w:t xml:space="preserve">; </w:t>
      </w:r>
      <w:hyperlink r:id="rId11" w:history="1">
        <w:r w:rsidRPr="005534A9">
          <w:rPr>
            <w:rStyle w:val="aa"/>
            <w:color w:val="000000" w:themeColor="text1"/>
            <w:u w:val="none"/>
          </w:rPr>
          <w:t>торговый сбор</w:t>
        </w:r>
      </w:hyperlink>
      <w:r w:rsidR="00A44538">
        <w:rPr>
          <w:color w:val="000000" w:themeColor="text1"/>
        </w:rPr>
        <w:t>, туристический налог.</w:t>
      </w:r>
    </w:p>
    <w:p w:rsidR="00DF1419" w:rsidRDefault="00DF1419" w:rsidP="00DF141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</w:t>
      </w:r>
      <w:proofErr w:type="gramStart"/>
      <w:r>
        <w:t xml:space="preserve">Согласно </w:t>
      </w:r>
      <w:r w:rsidR="006D0CFC">
        <w:t xml:space="preserve">части 1 </w:t>
      </w:r>
      <w:r w:rsidR="00E75CBA">
        <w:t xml:space="preserve">статьи 387 главы 31 </w:t>
      </w:r>
      <w:r>
        <w:t xml:space="preserve"> Налогов</w:t>
      </w:r>
      <w:r w:rsidR="00E75CBA">
        <w:t>ого Кодекса РФ</w:t>
      </w:r>
      <w:r>
        <w:t xml:space="preserve"> </w:t>
      </w:r>
      <w:r w:rsidR="00E75CBA">
        <w:t xml:space="preserve">(часть вторая) </w:t>
      </w:r>
      <w:r>
        <w:rPr>
          <w:rFonts w:eastAsiaTheme="minorHAnsi"/>
          <w:lang w:eastAsia="en-US"/>
        </w:rPr>
        <w:t xml:space="preserve">земельный налог устанавливается </w:t>
      </w:r>
      <w:r w:rsidR="00692C9E">
        <w:rPr>
          <w:rFonts w:eastAsiaTheme="minorHAnsi"/>
          <w:lang w:eastAsia="en-US"/>
        </w:rPr>
        <w:t>Налоговым кодексом РФ и</w:t>
      </w:r>
      <w:r>
        <w:rPr>
          <w:rFonts w:eastAsiaTheme="minorHAnsi"/>
          <w:lang w:eastAsia="en-US"/>
        </w:rPr>
        <w:t xml:space="preserve"> нормативными правовыми актами представительных органов муниципальных образований, вводится в действие и прекраща</w:t>
      </w:r>
      <w:r w:rsidR="00692C9E">
        <w:rPr>
          <w:rFonts w:eastAsiaTheme="minorHAnsi"/>
          <w:lang w:eastAsia="en-US"/>
        </w:rPr>
        <w:t>ет действовать в соответствии с</w:t>
      </w:r>
      <w:r>
        <w:rPr>
          <w:rFonts w:eastAsiaTheme="minorHAnsi"/>
          <w:lang w:eastAsia="en-US"/>
        </w:rPr>
        <w:t xml:space="preserve"> Налоговым кодексом </w:t>
      </w:r>
      <w:r w:rsidR="00692C9E">
        <w:rPr>
          <w:rFonts w:eastAsiaTheme="minorHAnsi"/>
          <w:lang w:eastAsia="en-US"/>
        </w:rPr>
        <w:t xml:space="preserve">РФ </w:t>
      </w:r>
      <w:r>
        <w:rPr>
          <w:rFonts w:eastAsiaTheme="minorHAnsi"/>
          <w:lang w:eastAsia="en-US"/>
        </w:rPr>
        <w:t>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  <w:proofErr w:type="gramEnd"/>
    </w:p>
    <w:p w:rsidR="00D82A96" w:rsidRDefault="00D82A96" w:rsidP="00DF141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D82A96">
        <w:rPr>
          <w:rFonts w:eastAsiaTheme="minorHAnsi"/>
          <w:lang w:eastAsia="en-US"/>
        </w:rPr>
        <w:t>Согласно пункту 2 части 1 статьи 16 Федерального закона от 06.10.2003  № 131-ФЗ «Об общих принципах организации местного самоуправления в Российской Федерации» к вопросам местного значения городского округа относится установление, изменение и отмена местных налогов и сборов муниципального, городского округа.</w:t>
      </w:r>
    </w:p>
    <w:p w:rsidR="00A44538" w:rsidRDefault="00A44538" w:rsidP="00A4453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В соответствии с п.1 ст.6 Устава города Тулуна к</w:t>
      </w:r>
      <w:r w:rsidRPr="00A44538">
        <w:rPr>
          <w:rFonts w:eastAsiaTheme="minorHAnsi"/>
          <w:lang w:eastAsia="en-US"/>
        </w:rPr>
        <w:t xml:space="preserve"> вопросам местного знач</w:t>
      </w:r>
      <w:r>
        <w:rPr>
          <w:rFonts w:eastAsiaTheme="minorHAnsi"/>
          <w:lang w:eastAsia="en-US"/>
        </w:rPr>
        <w:t xml:space="preserve">ения города Тулуна относится </w:t>
      </w:r>
      <w:r w:rsidRPr="00A44538">
        <w:rPr>
          <w:rFonts w:eastAsiaTheme="minorHAnsi"/>
          <w:lang w:eastAsia="en-US"/>
        </w:rPr>
        <w:t>введение, изменение и отмена местных</w:t>
      </w:r>
      <w:r>
        <w:rPr>
          <w:rFonts w:eastAsiaTheme="minorHAnsi"/>
          <w:lang w:eastAsia="en-US"/>
        </w:rPr>
        <w:t xml:space="preserve"> налогов и сборов города Тулуна.</w:t>
      </w:r>
    </w:p>
    <w:p w:rsidR="00A44538" w:rsidRPr="00DF1419" w:rsidRDefault="00A44538" w:rsidP="00A4453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Pr="00A44538">
        <w:rPr>
          <w:rFonts w:eastAsiaTheme="minorHAnsi"/>
          <w:lang w:eastAsia="en-US"/>
        </w:rPr>
        <w:t>В соответствии с п.1 с</w:t>
      </w:r>
      <w:r>
        <w:rPr>
          <w:rFonts w:eastAsiaTheme="minorHAnsi"/>
          <w:lang w:eastAsia="en-US"/>
        </w:rPr>
        <w:t>т.22</w:t>
      </w:r>
      <w:r w:rsidRPr="00A44538">
        <w:rPr>
          <w:rFonts w:eastAsiaTheme="minorHAnsi"/>
          <w:lang w:eastAsia="en-US"/>
        </w:rPr>
        <w:t xml:space="preserve"> Устава города Тулуна </w:t>
      </w:r>
      <w:r>
        <w:rPr>
          <w:rFonts w:eastAsiaTheme="minorHAnsi"/>
          <w:lang w:eastAsia="en-US"/>
        </w:rPr>
        <w:t>в</w:t>
      </w:r>
      <w:r w:rsidRPr="00A44538">
        <w:rPr>
          <w:rFonts w:eastAsiaTheme="minorHAnsi"/>
          <w:lang w:eastAsia="en-US"/>
        </w:rPr>
        <w:t xml:space="preserve"> исключительно</w:t>
      </w:r>
      <w:r>
        <w:rPr>
          <w:rFonts w:eastAsiaTheme="minorHAnsi"/>
          <w:lang w:eastAsia="en-US"/>
        </w:rPr>
        <w:t>й компетенции Думы города находи</w:t>
      </w:r>
      <w:r w:rsidRPr="00A44538">
        <w:rPr>
          <w:rFonts w:eastAsiaTheme="minorHAnsi"/>
          <w:lang w:eastAsia="en-US"/>
        </w:rPr>
        <w:t>тся</w:t>
      </w:r>
      <w:r w:rsidRPr="00A44538">
        <w:t xml:space="preserve"> </w:t>
      </w:r>
      <w:r w:rsidRPr="00A44538">
        <w:rPr>
          <w:rFonts w:eastAsiaTheme="minorHAnsi"/>
          <w:lang w:eastAsia="en-US"/>
        </w:rPr>
        <w:t>введение, изменение и отмена местных налогов и сборов в соответствии с законодательством Российск</w:t>
      </w:r>
      <w:r>
        <w:rPr>
          <w:rFonts w:eastAsiaTheme="minorHAnsi"/>
          <w:lang w:eastAsia="en-US"/>
        </w:rPr>
        <w:t>ой Федерации о налогах и сборах.</w:t>
      </w:r>
    </w:p>
    <w:p w:rsidR="001825AA" w:rsidRDefault="005534A9" w:rsidP="005534A9">
      <w:pPr>
        <w:jc w:val="both"/>
      </w:pPr>
      <w:r>
        <w:lastRenderedPageBreak/>
        <w:tab/>
        <w:t xml:space="preserve">Земельный налог </w:t>
      </w:r>
      <w:r w:rsidRPr="005534A9">
        <w:t xml:space="preserve"> на территори</w:t>
      </w:r>
      <w:r w:rsidR="006D0CFC">
        <w:t>и муниципального образования – «город Тулун»</w:t>
      </w:r>
      <w:r w:rsidRPr="005534A9">
        <w:t xml:space="preserve"> </w:t>
      </w:r>
      <w:r w:rsidR="001825AA">
        <w:t xml:space="preserve">введен </w:t>
      </w:r>
      <w:r w:rsidRPr="005534A9">
        <w:t>с 1 января 2006 года</w:t>
      </w:r>
      <w:r w:rsidR="001825AA">
        <w:t xml:space="preserve"> на основании решения Думы </w:t>
      </w:r>
      <w:r w:rsidR="006D0CFC">
        <w:t>города Тулуна от 28.10.2005</w:t>
      </w:r>
      <w:r w:rsidR="001825AA" w:rsidRPr="006D0CFC">
        <w:t xml:space="preserve"> </w:t>
      </w:r>
      <w:r w:rsidR="00FA6391">
        <w:t xml:space="preserve">    </w:t>
      </w:r>
      <w:r w:rsidR="001825AA" w:rsidRPr="006D0CFC">
        <w:t xml:space="preserve">№ 60-ДГ «Об установлении земельного налога на территории муниципального образования – «город Тулун». </w:t>
      </w:r>
      <w:r w:rsidR="001825AA">
        <w:t>Указанным решением утверждено Положение о земельном налоге</w:t>
      </w:r>
      <w:r w:rsidR="001809F0">
        <w:t xml:space="preserve"> (далее по тексту – Положение)</w:t>
      </w:r>
      <w:r w:rsidR="001825AA">
        <w:t xml:space="preserve">. </w:t>
      </w:r>
      <w:r w:rsidR="00662EF1">
        <w:t>Решением Думы городского округа от 31.08.2023 № 30-ДГО Положение утверждено в новой редакции.</w:t>
      </w:r>
    </w:p>
    <w:p w:rsidR="00662EF1" w:rsidRDefault="00FA6391" w:rsidP="00662E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</w:t>
      </w:r>
      <w:r w:rsidR="00DF1419" w:rsidRPr="006D0CFC">
        <w:t>Частью 2 статьи 387 главы</w:t>
      </w:r>
      <w:r w:rsidR="002A56A7" w:rsidRPr="006D0CFC">
        <w:t xml:space="preserve"> 31</w:t>
      </w:r>
      <w:r w:rsidR="00DF1419" w:rsidRPr="006D0CFC">
        <w:t xml:space="preserve"> Налогового кодекса РФ</w:t>
      </w:r>
      <w:r w:rsidR="00E75CBA">
        <w:t xml:space="preserve"> (часть вторая)</w:t>
      </w:r>
      <w:r w:rsidR="00DF1419" w:rsidRPr="006D0CFC">
        <w:t xml:space="preserve"> установлено, что </w:t>
      </w:r>
      <w:r w:rsidR="00662EF1">
        <w:rPr>
          <w:rFonts w:eastAsiaTheme="minorHAnsi"/>
          <w:lang w:eastAsia="en-US"/>
        </w:rPr>
        <w:t>устанавливая налог, представительные органы муниципальных образований определяют налоговые ставки в пределах, установленных главой 31</w:t>
      </w:r>
      <w:r w:rsidR="00662EF1" w:rsidRPr="00662EF1">
        <w:t xml:space="preserve"> </w:t>
      </w:r>
      <w:r w:rsidR="00662EF1" w:rsidRPr="006D0CFC">
        <w:t>Налогового кодекса РФ</w:t>
      </w:r>
      <w:r w:rsidR="00662EF1">
        <w:rPr>
          <w:rFonts w:eastAsiaTheme="minorHAnsi"/>
          <w:lang w:eastAsia="en-US"/>
        </w:rPr>
        <w:t>. В отношении налогоплательщиков-организаций представительные органы муниципальных образований, устанавливая налог, определяют также порядок уплаты налога.</w:t>
      </w:r>
      <w:r w:rsidR="00662EF1" w:rsidRPr="00662EF1">
        <w:rPr>
          <w:rFonts w:eastAsiaTheme="minorHAnsi"/>
          <w:lang w:eastAsia="en-US"/>
        </w:rPr>
        <w:t xml:space="preserve"> </w:t>
      </w:r>
      <w:r w:rsidR="00662EF1">
        <w:rPr>
          <w:rFonts w:eastAsiaTheme="minorHAnsi"/>
          <w:lang w:eastAsia="en-US"/>
        </w:rPr>
        <w:t>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DF1419" w:rsidRDefault="00DF1419" w:rsidP="00662EF1">
      <w:pPr>
        <w:jc w:val="both"/>
      </w:pPr>
    </w:p>
    <w:p w:rsidR="001809F0" w:rsidRDefault="001809F0" w:rsidP="001809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Pr="00662EF1">
        <w:rPr>
          <w:rFonts w:eastAsiaTheme="minorHAnsi"/>
          <w:lang w:eastAsia="en-US"/>
        </w:rPr>
        <w:t>Согласно пункту 1.2</w:t>
      </w:r>
      <w:r w:rsidR="00455536" w:rsidRPr="00662EF1">
        <w:rPr>
          <w:rFonts w:eastAsiaTheme="minorHAnsi"/>
          <w:lang w:eastAsia="en-US"/>
        </w:rPr>
        <w:t>.</w:t>
      </w:r>
      <w:r w:rsidR="00E56B9D">
        <w:rPr>
          <w:rFonts w:eastAsiaTheme="minorHAnsi"/>
          <w:lang w:eastAsia="en-US"/>
        </w:rPr>
        <w:t xml:space="preserve"> главы</w:t>
      </w:r>
      <w:r w:rsidRPr="00662EF1">
        <w:rPr>
          <w:rFonts w:eastAsiaTheme="minorHAnsi"/>
          <w:lang w:eastAsia="en-US"/>
        </w:rPr>
        <w:t xml:space="preserve"> 1 Положения положением </w:t>
      </w:r>
      <w:r w:rsidR="00455536" w:rsidRPr="00662EF1">
        <w:rPr>
          <w:rFonts w:eastAsiaTheme="minorHAnsi"/>
          <w:lang w:eastAsia="en-US"/>
        </w:rPr>
        <w:t>устанавливается земельный налог,</w:t>
      </w:r>
      <w:r w:rsidR="00662EF1">
        <w:rPr>
          <w:rFonts w:eastAsiaTheme="minorHAnsi"/>
          <w:lang w:eastAsia="en-US"/>
        </w:rPr>
        <w:t xml:space="preserve"> определяю</w:t>
      </w:r>
      <w:r w:rsidR="00455536" w:rsidRPr="00455536">
        <w:rPr>
          <w:rFonts w:eastAsiaTheme="minorHAnsi"/>
          <w:lang w:eastAsia="en-US"/>
        </w:rPr>
        <w:t xml:space="preserve">тся </w:t>
      </w:r>
      <w:r w:rsidR="00662EF1">
        <w:rPr>
          <w:rFonts w:eastAsiaTheme="minorHAnsi"/>
          <w:lang w:eastAsia="en-US"/>
        </w:rPr>
        <w:t xml:space="preserve">налоговые ставки, </w:t>
      </w:r>
      <w:r w:rsidR="00455536" w:rsidRPr="00455536">
        <w:rPr>
          <w:rFonts w:eastAsiaTheme="minorHAnsi"/>
          <w:lang w:eastAsia="en-US"/>
        </w:rPr>
        <w:t>порядок уплаты налога, а также устанавливаются налоговые льготы.</w:t>
      </w:r>
    </w:p>
    <w:p w:rsidR="00135F50" w:rsidRDefault="00135F50" w:rsidP="001809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35F50" w:rsidRDefault="00135F50" w:rsidP="001809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Согласно пункту 3.2. главы 3</w:t>
      </w:r>
      <w:r w:rsidRPr="00135F50">
        <w:rPr>
          <w:rFonts w:eastAsiaTheme="minorHAnsi"/>
          <w:lang w:eastAsia="en-US"/>
        </w:rPr>
        <w:t xml:space="preserve"> Положения</w:t>
      </w:r>
      <w:r>
        <w:rPr>
          <w:rFonts w:eastAsiaTheme="minorHAnsi"/>
          <w:lang w:eastAsia="en-US"/>
        </w:rPr>
        <w:t xml:space="preserve"> налоговая льгота, установленная пунктом 3.1 Положения, предоставляется налогоплательщикам в соответствии с пунктом 10 статьи 396 Налогового кодекса Российской Федерации.</w:t>
      </w:r>
    </w:p>
    <w:p w:rsidR="00610986" w:rsidRDefault="00610986" w:rsidP="001809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</w:p>
    <w:p w:rsidR="00506A86" w:rsidRDefault="00506A86" w:rsidP="005534A9">
      <w:pPr>
        <w:jc w:val="both"/>
      </w:pPr>
    </w:p>
    <w:p w:rsidR="0059027E" w:rsidRPr="002627D4" w:rsidRDefault="00506A86" w:rsidP="002627D4">
      <w:pPr>
        <w:pStyle w:val="a3"/>
        <w:numPr>
          <w:ilvl w:val="0"/>
          <w:numId w:val="2"/>
        </w:numPr>
        <w:jc w:val="center"/>
        <w:rPr>
          <w:b/>
        </w:rPr>
      </w:pPr>
      <w:r w:rsidRPr="00506A86">
        <w:rPr>
          <w:b/>
        </w:rPr>
        <w:t>Результаты экспертизы</w:t>
      </w:r>
      <w:r w:rsidR="00AB2371">
        <w:t xml:space="preserve">             </w:t>
      </w:r>
    </w:p>
    <w:p w:rsidR="00664155" w:rsidRPr="00664155" w:rsidRDefault="00664155" w:rsidP="006641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37882" w:rsidRDefault="002627D4" w:rsidP="00EC6A79">
      <w:pPr>
        <w:pStyle w:val="a3"/>
        <w:ind w:left="-142" w:firstLine="862"/>
        <w:jc w:val="both"/>
      </w:pPr>
      <w:proofErr w:type="gramStart"/>
      <w:r>
        <w:t>Подпунктом 1.1</w:t>
      </w:r>
      <w:r w:rsidR="0059027E">
        <w:t xml:space="preserve"> </w:t>
      </w:r>
      <w:r w:rsidR="008B1196">
        <w:t xml:space="preserve">пункта 1 </w:t>
      </w:r>
      <w:r w:rsidR="0059027E">
        <w:t>проекта</w:t>
      </w:r>
      <w:r w:rsidR="0059027E" w:rsidRPr="00FB55FB">
        <w:t xml:space="preserve"> решения Думы городского округа </w:t>
      </w:r>
      <w:r w:rsidR="0059027E" w:rsidRPr="00D37882">
        <w:t>«О внесении изменений в решение Ду</w:t>
      </w:r>
      <w:r w:rsidR="0059027E">
        <w:t>мы города Тулуна от 28.10.2005</w:t>
      </w:r>
      <w:r w:rsidR="0059027E" w:rsidRPr="00D37882">
        <w:t xml:space="preserve"> № 60-ДГ «Об установлении земельного налога на территории муниципального образования – «город Тулун»</w:t>
      </w:r>
      <w:r w:rsidR="0059027E" w:rsidRPr="0059027E">
        <w:rPr>
          <w:i/>
        </w:rPr>
        <w:t xml:space="preserve"> </w:t>
      </w:r>
      <w:r w:rsidR="0059027E" w:rsidRPr="00FB55FB">
        <w:t>предлагается</w:t>
      </w:r>
      <w:r w:rsidR="0059027E">
        <w:t xml:space="preserve"> продлить </w:t>
      </w:r>
      <w:r>
        <w:rPr>
          <w:b/>
          <w:i/>
        </w:rPr>
        <w:t>на налоговый период 2024</w:t>
      </w:r>
      <w:r w:rsidR="0059027E" w:rsidRPr="00EC6A79">
        <w:rPr>
          <w:b/>
          <w:i/>
        </w:rPr>
        <w:t xml:space="preserve"> года</w:t>
      </w:r>
      <w:r w:rsidR="00EC6A79">
        <w:t xml:space="preserve"> налоговую льготу</w:t>
      </w:r>
      <w:r w:rsidR="0059027E">
        <w:t xml:space="preserve"> граждан</w:t>
      </w:r>
      <w:r w:rsidR="00EC6A79">
        <w:t>ам</w:t>
      </w:r>
      <w:r w:rsidR="0059027E" w:rsidRPr="00276D98">
        <w:t xml:space="preserve"> Российск</w:t>
      </w:r>
      <w:r w:rsidR="0059027E">
        <w:t>ой Федерации, призванны</w:t>
      </w:r>
      <w:r w:rsidR="00252601">
        <w:t>м</w:t>
      </w:r>
      <w:r w:rsidR="0059027E" w:rsidRPr="00276D98">
        <w:t xml:space="preserve"> на военную службу по мобилизации в Вооруженные Си</w:t>
      </w:r>
      <w:r w:rsidR="0059027E">
        <w:t>лы Российской Фе</w:t>
      </w:r>
      <w:r w:rsidR="00EC6A79">
        <w:t>дерации, и членам их семей (жена, несовершеннолетние дети</w:t>
      </w:r>
      <w:proofErr w:type="gramEnd"/>
      <w:r w:rsidR="0059027E" w:rsidRPr="00276D98">
        <w:t>)</w:t>
      </w:r>
      <w:r w:rsidR="00EC6A79">
        <w:t>.</w:t>
      </w:r>
      <w:r w:rsidR="00650BD4">
        <w:t xml:space="preserve"> Предлагаемые</w:t>
      </w:r>
      <w:r w:rsidR="00650BD4" w:rsidRPr="00650BD4">
        <w:t xml:space="preserve"> </w:t>
      </w:r>
      <w:r w:rsidR="00650BD4">
        <w:t>к утверждению изменения соответ</w:t>
      </w:r>
      <w:r w:rsidR="001B7AA2">
        <w:t>ствуют требованиям ст</w:t>
      </w:r>
      <w:r w:rsidR="00AC6FCF">
        <w:t>атьи 387</w:t>
      </w:r>
      <w:r w:rsidR="00650BD4">
        <w:t xml:space="preserve"> Налогового кодекса Российской Федерации (пункт 2) и Положения о земельном налоге, утвержденного решением Думы городского округа от 31.08.2023 № 30-ДГО (подпункт «ж» пункта 3.1. главы 3).</w:t>
      </w:r>
    </w:p>
    <w:p w:rsidR="0023287A" w:rsidRDefault="0023287A" w:rsidP="00EC6A79">
      <w:pPr>
        <w:pStyle w:val="a3"/>
        <w:ind w:left="-142" w:firstLine="862"/>
        <w:jc w:val="both"/>
      </w:pPr>
    </w:p>
    <w:p w:rsidR="002627D4" w:rsidRDefault="002627D4" w:rsidP="004F4FE7">
      <w:pPr>
        <w:pStyle w:val="a3"/>
        <w:ind w:left="-142" w:firstLine="862"/>
        <w:jc w:val="both"/>
      </w:pPr>
      <w:proofErr w:type="gramStart"/>
      <w:r>
        <w:t>Подпунктом 1.2</w:t>
      </w:r>
      <w:r w:rsidRPr="002627D4">
        <w:t xml:space="preserve"> пункта 1 проекта решения Думы городского округа «О внесении изменений в решение Думы города Тулуна от 28.10.2005 № 60-ДГ «Об установлении земельного налога на территории муниципального образования – «город Тулун» предлагается исключить подпункт «з» пункта  3.1. главы 3 Положения о земельном налоге на территории муниципального образования – «город Тулун» в связи с приватизацией муниципальных казенных предприятий МО – «город Тулун» путем преобразования</w:t>
      </w:r>
      <w:proofErr w:type="gramEnd"/>
      <w:r w:rsidRPr="002627D4">
        <w:t xml:space="preserve"> в общества </w:t>
      </w:r>
      <w:r>
        <w:t>с ограниченной ответственностью</w:t>
      </w:r>
      <w:r w:rsidRPr="002627D4">
        <w:t>.</w:t>
      </w:r>
    </w:p>
    <w:p w:rsidR="0066247A" w:rsidRPr="003F44A2" w:rsidRDefault="0066247A" w:rsidP="003F44A2">
      <w:pPr>
        <w:jc w:val="both"/>
        <w:rPr>
          <w:rFonts w:eastAsiaTheme="minorHAnsi"/>
          <w:color w:val="000000" w:themeColor="text1"/>
          <w:lang w:eastAsia="en-US"/>
        </w:rPr>
      </w:pPr>
    </w:p>
    <w:p w:rsidR="0066247A" w:rsidRPr="006C6F94" w:rsidRDefault="003F44A2" w:rsidP="008B1196">
      <w:pPr>
        <w:pStyle w:val="a3"/>
        <w:ind w:left="-142" w:firstLine="862"/>
        <w:jc w:val="both"/>
      </w:pPr>
      <w:proofErr w:type="gramStart"/>
      <w:r w:rsidRPr="006C6F94">
        <w:t>Пунктом 2</w:t>
      </w:r>
      <w:r w:rsidR="0066247A" w:rsidRPr="006C6F94">
        <w:t xml:space="preserve"> проекта решения Думы городского округа «О внесении изменений в решение Думы города Тулуна от 28.10.2005 № 60-ДГ «Об установлении земельного налога на территории муниципального образования – «город Тулун»</w:t>
      </w:r>
      <w:r w:rsidR="0066247A" w:rsidRPr="006C6F94">
        <w:rPr>
          <w:i/>
        </w:rPr>
        <w:t xml:space="preserve"> </w:t>
      </w:r>
      <w:r w:rsidR="0066247A" w:rsidRPr="006C6F94">
        <w:t>предлагается вст</w:t>
      </w:r>
      <w:r w:rsidRPr="006C6F94">
        <w:t>упление в силу подпункта 1.1</w:t>
      </w:r>
      <w:r w:rsidR="0066247A" w:rsidRPr="006C6F94">
        <w:t xml:space="preserve"> проекта решения с даты </w:t>
      </w:r>
      <w:r w:rsidR="00982910" w:rsidRPr="006C6F94">
        <w:t xml:space="preserve">его </w:t>
      </w:r>
      <w:r w:rsidR="0066247A" w:rsidRPr="006C6F94">
        <w:t xml:space="preserve">официального опубликования, что не противоречит </w:t>
      </w:r>
      <w:r w:rsidR="00AC11B0">
        <w:t xml:space="preserve">требованиям </w:t>
      </w:r>
      <w:r w:rsidR="0066247A" w:rsidRPr="006C6F94">
        <w:t>ч.1 ст. 397 Налогового кодекса Российской Федерации.</w:t>
      </w:r>
      <w:proofErr w:type="gramEnd"/>
    </w:p>
    <w:p w:rsidR="00CA357B" w:rsidRPr="003F44A2" w:rsidRDefault="00CA357B" w:rsidP="008B1196">
      <w:pPr>
        <w:pStyle w:val="a3"/>
        <w:ind w:left="-142" w:firstLine="862"/>
        <w:jc w:val="both"/>
        <w:rPr>
          <w:highlight w:val="yellow"/>
        </w:rPr>
      </w:pPr>
    </w:p>
    <w:p w:rsidR="003F44A2" w:rsidRDefault="003F44A2" w:rsidP="008B1196">
      <w:pPr>
        <w:pStyle w:val="a3"/>
        <w:ind w:left="-142" w:firstLine="862"/>
        <w:jc w:val="both"/>
      </w:pPr>
      <w:proofErr w:type="gramStart"/>
      <w:r w:rsidRPr="00AC11B0">
        <w:lastRenderedPageBreak/>
        <w:t>Пунктом 3 проекта решения Думы городского округа «О внесении изменений в решение Думы города Тулуна от 28.10.2005 № 60-ДГ «Об установлении земельного налога на территории муниципального образования – «город Тулун» предлагае</w:t>
      </w:r>
      <w:r w:rsidR="00982910" w:rsidRPr="00AC11B0">
        <w:t>тся вступление в силу подпункта</w:t>
      </w:r>
      <w:r w:rsidRPr="00AC11B0">
        <w:t xml:space="preserve"> 1.2 проекта решения с 01 янв</w:t>
      </w:r>
      <w:r w:rsidR="00AC11B0" w:rsidRPr="00AC11B0">
        <w:t xml:space="preserve">аря 2026 года, что не противоречит </w:t>
      </w:r>
      <w:r w:rsidRPr="00AC11B0">
        <w:t xml:space="preserve"> требованиям ч.1 ст. 393 Налогового кодекса Российской Федерации, п.2 ст.8 Федерального закона от</w:t>
      </w:r>
      <w:proofErr w:type="gramEnd"/>
      <w:r w:rsidRPr="00AC11B0">
        <w:t xml:space="preserve"> </w:t>
      </w:r>
      <w:proofErr w:type="gramStart"/>
      <w:r w:rsidRPr="00AC11B0">
        <w:t>12.07.2024</w:t>
      </w:r>
      <w:proofErr w:type="gramEnd"/>
      <w:r w:rsidRPr="00AC11B0">
        <w:t xml:space="preserve"> № </w:t>
      </w:r>
      <w:proofErr w:type="gramStart"/>
      <w:r w:rsidRPr="00AC11B0">
        <w:t>176-ФЗ.</w:t>
      </w:r>
      <w:proofErr w:type="gramEnd"/>
    </w:p>
    <w:p w:rsidR="00B34C00" w:rsidRDefault="00B34C00" w:rsidP="0066247A">
      <w:pPr>
        <w:jc w:val="both"/>
      </w:pPr>
    </w:p>
    <w:p w:rsidR="00AC11B0" w:rsidRDefault="00226E47" w:rsidP="0066247A">
      <w:pPr>
        <w:jc w:val="both"/>
      </w:pPr>
      <w:r>
        <w:t xml:space="preserve">         Согласно ст.397 </w:t>
      </w:r>
      <w:r w:rsidRPr="00226E47">
        <w:t xml:space="preserve">Налогового кодекса РФ </w:t>
      </w:r>
      <w:r>
        <w:t>н</w:t>
      </w:r>
      <w:r w:rsidRPr="00226E47">
        <w:t>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 Налогоплательщики-организации исчисляют сумму налога (сумму авансового платежа по налогу) самосто</w:t>
      </w:r>
      <w:r>
        <w:t>ятельно (ст.396 НК РФ).</w:t>
      </w:r>
      <w:r w:rsidRPr="00226E47">
        <w:t xml:space="preserve"> 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 на основании налогового уведомления, направленного налоговым органом.</w:t>
      </w:r>
      <w:r w:rsidR="001B10AA" w:rsidRPr="001B10AA">
        <w:t xml:space="preserve"> 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161C6C" w:rsidRDefault="00736EAF" w:rsidP="0066247A">
      <w:pPr>
        <w:jc w:val="both"/>
      </w:pPr>
      <w:r>
        <w:t xml:space="preserve">На основании вышеизложенного </w:t>
      </w:r>
      <w:r w:rsidR="001B10AA">
        <w:t>Контрольно-счетная палата</w:t>
      </w:r>
      <w:bookmarkStart w:id="0" w:name="_GoBack"/>
      <w:bookmarkEnd w:id="0"/>
      <w:r w:rsidR="00161C6C">
        <w:t xml:space="preserve"> города Тулуна </w:t>
      </w:r>
      <w:r>
        <w:t xml:space="preserve">предлагает </w:t>
      </w:r>
      <w:r w:rsidR="00161C6C">
        <w:t xml:space="preserve">в </w:t>
      </w:r>
      <w:r>
        <w:t>пункт</w:t>
      </w:r>
      <w:r w:rsidR="00161C6C">
        <w:t xml:space="preserve"> 4.1 главы 4 Пол</w:t>
      </w:r>
      <w:r>
        <w:t>ожения</w:t>
      </w:r>
      <w:r w:rsidR="00161C6C">
        <w:t xml:space="preserve"> внести дополнение: «после слов «</w:t>
      </w:r>
      <w:r w:rsidR="00161C6C" w:rsidRPr="00161C6C">
        <w:t>налогоплательщиками-организациями</w:t>
      </w:r>
      <w:r w:rsidR="00161C6C">
        <w:t>» дополнить словами «</w:t>
      </w:r>
      <w:r w:rsidR="00DB6200">
        <w:t xml:space="preserve">и </w:t>
      </w:r>
      <w:r w:rsidR="00161C6C" w:rsidRPr="00161C6C">
        <w:t>налогоплательщиками - физическими лицами</w:t>
      </w:r>
      <w:r w:rsidR="00161C6C">
        <w:t>».</w:t>
      </w:r>
    </w:p>
    <w:p w:rsidR="00226E47" w:rsidRDefault="00226E47" w:rsidP="0066247A">
      <w:pPr>
        <w:jc w:val="both"/>
      </w:pPr>
    </w:p>
    <w:p w:rsidR="00226E47" w:rsidRPr="00B34C00" w:rsidRDefault="00226E47" w:rsidP="0066247A">
      <w:pPr>
        <w:jc w:val="both"/>
      </w:pPr>
    </w:p>
    <w:p w:rsidR="005D25FC" w:rsidRPr="00960E29" w:rsidRDefault="005D25FC" w:rsidP="00DC11EC">
      <w:pPr>
        <w:pStyle w:val="a3"/>
        <w:numPr>
          <w:ilvl w:val="0"/>
          <w:numId w:val="2"/>
        </w:numPr>
        <w:jc w:val="center"/>
        <w:rPr>
          <w:b/>
        </w:rPr>
      </w:pPr>
      <w:r w:rsidRPr="00960E29">
        <w:rPr>
          <w:b/>
        </w:rPr>
        <w:t>Выводы и рекомендации</w:t>
      </w:r>
    </w:p>
    <w:p w:rsidR="001F67AC" w:rsidRDefault="001F67AC" w:rsidP="001F67AC">
      <w:pPr>
        <w:pStyle w:val="a3"/>
        <w:jc w:val="center"/>
      </w:pPr>
    </w:p>
    <w:p w:rsidR="00521B5F" w:rsidRDefault="007D21C8" w:rsidP="005970ED">
      <w:pPr>
        <w:pStyle w:val="a3"/>
        <w:ind w:left="0"/>
        <w:jc w:val="both"/>
      </w:pPr>
      <w:r>
        <w:tab/>
      </w:r>
      <w:r w:rsidR="00B970E4">
        <w:t xml:space="preserve"> </w:t>
      </w:r>
      <w:r w:rsidR="009C306A" w:rsidRPr="00583800">
        <w:t>Проект</w:t>
      </w:r>
      <w:r w:rsidR="009C306A" w:rsidRPr="009C306A">
        <w:t xml:space="preserve"> решения Думы городского округа </w:t>
      </w:r>
      <w:r w:rsidR="00521B5F" w:rsidRPr="00D37882">
        <w:t>«О внесении изменений в решение Ду</w:t>
      </w:r>
      <w:r w:rsidR="00D37882">
        <w:t>мы города Тулуна от 28.10.2005</w:t>
      </w:r>
      <w:r w:rsidR="00521B5F" w:rsidRPr="00D37882">
        <w:t xml:space="preserve"> № 60-ДГ «Об установлении земельного налога на территории муниципального образования – «город Тулун»</w:t>
      </w:r>
      <w:r w:rsidR="00521B5F" w:rsidRPr="00521B5F">
        <w:rPr>
          <w:i/>
        </w:rPr>
        <w:t xml:space="preserve"> </w:t>
      </w:r>
      <w:r w:rsidR="00D41D7E">
        <w:t xml:space="preserve">в целом </w:t>
      </w:r>
      <w:r w:rsidR="00D37882">
        <w:t>не противоречит</w:t>
      </w:r>
      <w:r w:rsidR="009C306A" w:rsidRPr="009C306A">
        <w:t xml:space="preserve"> действующему </w:t>
      </w:r>
      <w:r w:rsidR="00122992" w:rsidRPr="00122992">
        <w:t xml:space="preserve">законодательству Российской Федерации и нормативным правовым актам </w:t>
      </w:r>
      <w:r w:rsidR="00B34234">
        <w:t>муниципального образования – «город Тулун»</w:t>
      </w:r>
      <w:r w:rsidR="00521B5F">
        <w:t>.</w:t>
      </w:r>
      <w:r w:rsidR="00770D31">
        <w:t xml:space="preserve"> </w:t>
      </w:r>
    </w:p>
    <w:p w:rsidR="00122992" w:rsidRDefault="00122992" w:rsidP="005970ED">
      <w:pPr>
        <w:pStyle w:val="a3"/>
        <w:ind w:left="0"/>
        <w:jc w:val="both"/>
      </w:pPr>
    </w:p>
    <w:p w:rsidR="00AD69F0" w:rsidRDefault="00B34234" w:rsidP="005970ED">
      <w:pPr>
        <w:pStyle w:val="a3"/>
        <w:ind w:left="0"/>
        <w:jc w:val="both"/>
      </w:pPr>
      <w:r>
        <w:t xml:space="preserve">        </w:t>
      </w:r>
      <w:r w:rsidR="00B0376E">
        <w:t>На основании вышеизложенного Контрольно-счет</w:t>
      </w:r>
      <w:r w:rsidR="00020AF3">
        <w:t xml:space="preserve">ная палата города </w:t>
      </w:r>
      <w:r w:rsidR="005970ED">
        <w:t xml:space="preserve">Тулуна </w:t>
      </w:r>
      <w:r w:rsidR="005970ED" w:rsidRPr="00020AF3">
        <w:rPr>
          <w:b/>
          <w:i/>
        </w:rPr>
        <w:t>рекомендует</w:t>
      </w:r>
      <w:r w:rsidRPr="00020AF3">
        <w:rPr>
          <w:b/>
          <w:i/>
        </w:rPr>
        <w:t>:</w:t>
      </w:r>
      <w:r w:rsidR="005970ED">
        <w:t xml:space="preserve"> </w:t>
      </w:r>
    </w:p>
    <w:p w:rsidR="00161C6C" w:rsidRDefault="00161C6C" w:rsidP="005970ED">
      <w:pPr>
        <w:pStyle w:val="a3"/>
        <w:ind w:left="0"/>
        <w:jc w:val="both"/>
        <w:rPr>
          <w:i/>
        </w:rPr>
      </w:pPr>
      <w:r w:rsidRPr="00161C6C">
        <w:rPr>
          <w:i/>
        </w:rPr>
        <w:t>Администрации городского округа</w:t>
      </w:r>
      <w:r>
        <w:rPr>
          <w:i/>
        </w:rPr>
        <w:t>:</w:t>
      </w:r>
    </w:p>
    <w:p w:rsidR="00161C6C" w:rsidRPr="00161C6C" w:rsidRDefault="00161C6C" w:rsidP="005970ED">
      <w:pPr>
        <w:pStyle w:val="a3"/>
        <w:ind w:left="0"/>
        <w:jc w:val="both"/>
      </w:pPr>
      <w:r>
        <w:rPr>
          <w:i/>
        </w:rPr>
        <w:t xml:space="preserve">            </w:t>
      </w:r>
      <w:r>
        <w:t xml:space="preserve">Рассмотреть предложение по внесению дополнения в </w:t>
      </w:r>
      <w:r w:rsidRPr="00161C6C">
        <w:t>Положение о земельном налоге</w:t>
      </w:r>
      <w:r>
        <w:t xml:space="preserve"> на </w:t>
      </w:r>
      <w:r w:rsidRPr="00161C6C">
        <w:t>территории муниципального образования – «город Тулун»</w:t>
      </w:r>
      <w:r>
        <w:t>.</w:t>
      </w:r>
    </w:p>
    <w:p w:rsidR="00551757" w:rsidRPr="00AD69F0" w:rsidRDefault="00B0376E" w:rsidP="005970ED">
      <w:pPr>
        <w:pStyle w:val="a3"/>
        <w:ind w:left="0"/>
        <w:jc w:val="both"/>
        <w:rPr>
          <w:i/>
        </w:rPr>
      </w:pPr>
      <w:r w:rsidRPr="00AD69F0">
        <w:rPr>
          <w:i/>
        </w:rPr>
        <w:t>Думе городского округа:</w:t>
      </w:r>
      <w:r w:rsidR="000C0020" w:rsidRPr="00AD69F0">
        <w:rPr>
          <w:i/>
        </w:rPr>
        <w:t xml:space="preserve"> </w:t>
      </w:r>
    </w:p>
    <w:p w:rsidR="00770D31" w:rsidRDefault="00551757" w:rsidP="00D058C3">
      <w:pPr>
        <w:ind w:firstLine="708"/>
        <w:jc w:val="both"/>
        <w:rPr>
          <w:i/>
        </w:rPr>
      </w:pPr>
      <w:r>
        <w:t xml:space="preserve"> </w:t>
      </w:r>
      <w:r w:rsidR="00020AF3">
        <w:t>П</w:t>
      </w:r>
      <w:r w:rsidR="000C0020">
        <w:t>роект решения</w:t>
      </w:r>
      <w:r>
        <w:t xml:space="preserve"> </w:t>
      </w:r>
      <w:r w:rsidR="00521B5F" w:rsidRPr="00521B5F">
        <w:t xml:space="preserve">Думы городского </w:t>
      </w:r>
      <w:r w:rsidR="00521B5F" w:rsidRPr="00020AF3">
        <w:t>округа «О внесении изменений в решение Ду</w:t>
      </w:r>
      <w:r w:rsidR="00020AF3">
        <w:t>мы города Тулуна от 28.10.2005</w:t>
      </w:r>
      <w:r w:rsidR="00521B5F" w:rsidRPr="00020AF3">
        <w:t xml:space="preserve"> № 60-ДГ «Об установлении земельного налога на территории муниципального образования – «город Тулун»</w:t>
      </w:r>
      <w:r w:rsidR="003A5E97">
        <w:rPr>
          <w:i/>
        </w:rPr>
        <w:t xml:space="preserve"> </w:t>
      </w:r>
      <w:r w:rsidR="003A5E97" w:rsidRPr="00B34234">
        <w:t>принять к рассмотрению</w:t>
      </w:r>
      <w:r w:rsidR="003A5E97">
        <w:rPr>
          <w:i/>
        </w:rPr>
        <w:t>.</w:t>
      </w:r>
    </w:p>
    <w:p w:rsidR="00193F7D" w:rsidRDefault="00193F7D" w:rsidP="00D058C3">
      <w:pPr>
        <w:ind w:firstLine="708"/>
        <w:jc w:val="both"/>
      </w:pPr>
    </w:p>
    <w:p w:rsidR="00193F7D" w:rsidRDefault="00193F7D" w:rsidP="00665EEE">
      <w:pPr>
        <w:jc w:val="both"/>
      </w:pPr>
    </w:p>
    <w:p w:rsidR="00193F7D" w:rsidRDefault="00193F7D" w:rsidP="00BA417F">
      <w:pPr>
        <w:jc w:val="both"/>
      </w:pPr>
    </w:p>
    <w:p w:rsidR="005C2450" w:rsidRDefault="00AB2F14" w:rsidP="001D7C17">
      <w:pPr>
        <w:jc w:val="both"/>
      </w:pPr>
      <w:r>
        <w:t xml:space="preserve">Председатель </w:t>
      </w:r>
    </w:p>
    <w:p w:rsidR="0022697C" w:rsidRDefault="001D7C17" w:rsidP="009676E8">
      <w:pPr>
        <w:jc w:val="both"/>
      </w:pPr>
      <w:r>
        <w:t>Контрольно-счетной палаты</w:t>
      </w:r>
      <w:r w:rsidR="00770D31">
        <w:t xml:space="preserve"> города </w:t>
      </w:r>
      <w:r>
        <w:t xml:space="preserve">Тулуна            </w:t>
      </w:r>
      <w:r w:rsidR="00770D31">
        <w:t xml:space="preserve">       </w:t>
      </w:r>
      <w:r>
        <w:t xml:space="preserve">                                </w:t>
      </w:r>
      <w:r w:rsidR="005C2450">
        <w:t xml:space="preserve">  </w:t>
      </w:r>
      <w:r w:rsidR="003A2015">
        <w:t xml:space="preserve">Л.В. </w:t>
      </w:r>
      <w:proofErr w:type="spellStart"/>
      <w:r w:rsidR="003A2015">
        <w:t>Калинчук</w:t>
      </w:r>
      <w:proofErr w:type="spellEnd"/>
    </w:p>
    <w:sectPr w:rsidR="0022697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91" w:rsidRDefault="001C3F91" w:rsidP="0040595A">
      <w:r>
        <w:separator/>
      </w:r>
    </w:p>
  </w:endnote>
  <w:endnote w:type="continuationSeparator" w:id="0">
    <w:p w:rsidR="001C3F91" w:rsidRDefault="001C3F91" w:rsidP="004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26174"/>
      <w:docPartObj>
        <w:docPartGallery w:val="Page Numbers (Bottom of Page)"/>
        <w:docPartUnique/>
      </w:docPartObj>
    </w:sdtPr>
    <w:sdtEndPr/>
    <w:sdtContent>
      <w:p w:rsidR="003748E8" w:rsidRDefault="003748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0AA">
          <w:rPr>
            <w:noProof/>
          </w:rPr>
          <w:t>2</w:t>
        </w:r>
        <w:r>
          <w:fldChar w:fldCharType="end"/>
        </w:r>
      </w:p>
    </w:sdtContent>
  </w:sdt>
  <w:p w:rsidR="003748E8" w:rsidRDefault="003748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91" w:rsidRDefault="001C3F91" w:rsidP="0040595A">
      <w:r>
        <w:separator/>
      </w:r>
    </w:p>
  </w:footnote>
  <w:footnote w:type="continuationSeparator" w:id="0">
    <w:p w:rsidR="001C3F91" w:rsidRDefault="001C3F91" w:rsidP="004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71D6C88"/>
    <w:multiLevelType w:val="hybridMultilevel"/>
    <w:tmpl w:val="A35EB630"/>
    <w:lvl w:ilvl="0" w:tplc="7652A0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5D9"/>
    <w:multiLevelType w:val="hybridMultilevel"/>
    <w:tmpl w:val="18BE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F7CD4"/>
    <w:multiLevelType w:val="hybridMultilevel"/>
    <w:tmpl w:val="87EA8A26"/>
    <w:lvl w:ilvl="0" w:tplc="E99E03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C"/>
    <w:rsid w:val="0000731D"/>
    <w:rsid w:val="00017005"/>
    <w:rsid w:val="00020AF3"/>
    <w:rsid w:val="0002324F"/>
    <w:rsid w:val="00027211"/>
    <w:rsid w:val="00027F43"/>
    <w:rsid w:val="0003012D"/>
    <w:rsid w:val="00041D68"/>
    <w:rsid w:val="00052739"/>
    <w:rsid w:val="00054DF6"/>
    <w:rsid w:val="00066BDE"/>
    <w:rsid w:val="000673E7"/>
    <w:rsid w:val="00080B7E"/>
    <w:rsid w:val="00091335"/>
    <w:rsid w:val="00094CFF"/>
    <w:rsid w:val="000A3482"/>
    <w:rsid w:val="000B0B92"/>
    <w:rsid w:val="000B3225"/>
    <w:rsid w:val="000B4F05"/>
    <w:rsid w:val="000C0020"/>
    <w:rsid w:val="000C433F"/>
    <w:rsid w:val="000D1CEA"/>
    <w:rsid w:val="000D29E0"/>
    <w:rsid w:val="000E0CD6"/>
    <w:rsid w:val="000E6E96"/>
    <w:rsid w:val="000F092D"/>
    <w:rsid w:val="000F4D01"/>
    <w:rsid w:val="000F643B"/>
    <w:rsid w:val="00102EAC"/>
    <w:rsid w:val="0011000F"/>
    <w:rsid w:val="00113455"/>
    <w:rsid w:val="001136FA"/>
    <w:rsid w:val="00117ACB"/>
    <w:rsid w:val="0012078C"/>
    <w:rsid w:val="00122992"/>
    <w:rsid w:val="00122F58"/>
    <w:rsid w:val="00131265"/>
    <w:rsid w:val="00135F50"/>
    <w:rsid w:val="00136AEE"/>
    <w:rsid w:val="0014078C"/>
    <w:rsid w:val="0015198F"/>
    <w:rsid w:val="00156BC6"/>
    <w:rsid w:val="001573CD"/>
    <w:rsid w:val="00161C6C"/>
    <w:rsid w:val="001621DA"/>
    <w:rsid w:val="00163955"/>
    <w:rsid w:val="0017141D"/>
    <w:rsid w:val="0017149D"/>
    <w:rsid w:val="001772E1"/>
    <w:rsid w:val="001809F0"/>
    <w:rsid w:val="001825AA"/>
    <w:rsid w:val="00185434"/>
    <w:rsid w:val="00193F7D"/>
    <w:rsid w:val="00196649"/>
    <w:rsid w:val="00196F65"/>
    <w:rsid w:val="00197DE2"/>
    <w:rsid w:val="001A0551"/>
    <w:rsid w:val="001A2DFB"/>
    <w:rsid w:val="001A499D"/>
    <w:rsid w:val="001A6B9A"/>
    <w:rsid w:val="001A6C30"/>
    <w:rsid w:val="001A7DCB"/>
    <w:rsid w:val="001B10AA"/>
    <w:rsid w:val="001B7AA2"/>
    <w:rsid w:val="001B7B79"/>
    <w:rsid w:val="001C0F66"/>
    <w:rsid w:val="001C1C3B"/>
    <w:rsid w:val="001C3F91"/>
    <w:rsid w:val="001D7C17"/>
    <w:rsid w:val="001E004F"/>
    <w:rsid w:val="001F151E"/>
    <w:rsid w:val="001F41E8"/>
    <w:rsid w:val="001F6363"/>
    <w:rsid w:val="001F67AC"/>
    <w:rsid w:val="00203BCF"/>
    <w:rsid w:val="00212E9B"/>
    <w:rsid w:val="002240AB"/>
    <w:rsid w:val="0022526F"/>
    <w:rsid w:val="0022697C"/>
    <w:rsid w:val="00226E47"/>
    <w:rsid w:val="00230E1C"/>
    <w:rsid w:val="0023287A"/>
    <w:rsid w:val="0024016F"/>
    <w:rsid w:val="002507F0"/>
    <w:rsid w:val="00252601"/>
    <w:rsid w:val="00253867"/>
    <w:rsid w:val="00254154"/>
    <w:rsid w:val="002627D4"/>
    <w:rsid w:val="00265B3D"/>
    <w:rsid w:val="00271841"/>
    <w:rsid w:val="002725EA"/>
    <w:rsid w:val="002951F2"/>
    <w:rsid w:val="002A16D9"/>
    <w:rsid w:val="002A56A7"/>
    <w:rsid w:val="002B2F2C"/>
    <w:rsid w:val="002B441C"/>
    <w:rsid w:val="002B450D"/>
    <w:rsid w:val="002C1397"/>
    <w:rsid w:val="002C518E"/>
    <w:rsid w:val="002D0B7A"/>
    <w:rsid w:val="002E33F6"/>
    <w:rsid w:val="002F4A81"/>
    <w:rsid w:val="00313A0B"/>
    <w:rsid w:val="00314047"/>
    <w:rsid w:val="0031670F"/>
    <w:rsid w:val="00316CA4"/>
    <w:rsid w:val="003259C0"/>
    <w:rsid w:val="00330803"/>
    <w:rsid w:val="00332A07"/>
    <w:rsid w:val="00334E98"/>
    <w:rsid w:val="00335266"/>
    <w:rsid w:val="00337D1B"/>
    <w:rsid w:val="00370BFC"/>
    <w:rsid w:val="003723B6"/>
    <w:rsid w:val="003748E8"/>
    <w:rsid w:val="00374D39"/>
    <w:rsid w:val="00377FCB"/>
    <w:rsid w:val="003806A5"/>
    <w:rsid w:val="00383A72"/>
    <w:rsid w:val="00383BB8"/>
    <w:rsid w:val="003861D4"/>
    <w:rsid w:val="00391AAD"/>
    <w:rsid w:val="0039375D"/>
    <w:rsid w:val="003A2015"/>
    <w:rsid w:val="003A5189"/>
    <w:rsid w:val="003A5E97"/>
    <w:rsid w:val="003B46DB"/>
    <w:rsid w:val="003B4D69"/>
    <w:rsid w:val="003E14E8"/>
    <w:rsid w:val="003E4840"/>
    <w:rsid w:val="003F2654"/>
    <w:rsid w:val="003F44A2"/>
    <w:rsid w:val="0040595A"/>
    <w:rsid w:val="004068BB"/>
    <w:rsid w:val="004079D0"/>
    <w:rsid w:val="00410728"/>
    <w:rsid w:val="0041100D"/>
    <w:rsid w:val="00424B12"/>
    <w:rsid w:val="004305B3"/>
    <w:rsid w:val="00442075"/>
    <w:rsid w:val="00452CDE"/>
    <w:rsid w:val="00455536"/>
    <w:rsid w:val="004647BF"/>
    <w:rsid w:val="00466D05"/>
    <w:rsid w:val="00471EF7"/>
    <w:rsid w:val="00477B7C"/>
    <w:rsid w:val="004808DE"/>
    <w:rsid w:val="00491674"/>
    <w:rsid w:val="004939DB"/>
    <w:rsid w:val="00494153"/>
    <w:rsid w:val="004A3ADA"/>
    <w:rsid w:val="004A3C48"/>
    <w:rsid w:val="004A4660"/>
    <w:rsid w:val="004C418D"/>
    <w:rsid w:val="004C7362"/>
    <w:rsid w:val="004D4D3F"/>
    <w:rsid w:val="004D55C9"/>
    <w:rsid w:val="004E2311"/>
    <w:rsid w:val="004E3197"/>
    <w:rsid w:val="004F4FE7"/>
    <w:rsid w:val="0050561B"/>
    <w:rsid w:val="00506A86"/>
    <w:rsid w:val="005128F6"/>
    <w:rsid w:val="00516E6A"/>
    <w:rsid w:val="00517E5E"/>
    <w:rsid w:val="00521B5F"/>
    <w:rsid w:val="0054237B"/>
    <w:rsid w:val="00550509"/>
    <w:rsid w:val="00551757"/>
    <w:rsid w:val="00553429"/>
    <w:rsid w:val="005534A9"/>
    <w:rsid w:val="00555702"/>
    <w:rsid w:val="00564CFA"/>
    <w:rsid w:val="0057048C"/>
    <w:rsid w:val="00571C66"/>
    <w:rsid w:val="00573E33"/>
    <w:rsid w:val="00580040"/>
    <w:rsid w:val="00583800"/>
    <w:rsid w:val="00586030"/>
    <w:rsid w:val="0059027E"/>
    <w:rsid w:val="005915F3"/>
    <w:rsid w:val="00596CAE"/>
    <w:rsid w:val="00596F88"/>
    <w:rsid w:val="005970ED"/>
    <w:rsid w:val="005972B1"/>
    <w:rsid w:val="005C2450"/>
    <w:rsid w:val="005C4117"/>
    <w:rsid w:val="005D0C22"/>
    <w:rsid w:val="005D0F51"/>
    <w:rsid w:val="005D1607"/>
    <w:rsid w:val="005D25FC"/>
    <w:rsid w:val="005D4422"/>
    <w:rsid w:val="005F6959"/>
    <w:rsid w:val="00604399"/>
    <w:rsid w:val="00604BC3"/>
    <w:rsid w:val="00610986"/>
    <w:rsid w:val="0062648F"/>
    <w:rsid w:val="0063434D"/>
    <w:rsid w:val="00634719"/>
    <w:rsid w:val="00650BD4"/>
    <w:rsid w:val="00656488"/>
    <w:rsid w:val="00657E6D"/>
    <w:rsid w:val="0066247A"/>
    <w:rsid w:val="00662EF1"/>
    <w:rsid w:val="00664155"/>
    <w:rsid w:val="00665EEE"/>
    <w:rsid w:val="006665F8"/>
    <w:rsid w:val="006770F7"/>
    <w:rsid w:val="00680A7A"/>
    <w:rsid w:val="006872FE"/>
    <w:rsid w:val="00687F22"/>
    <w:rsid w:val="00690773"/>
    <w:rsid w:val="00692C9E"/>
    <w:rsid w:val="006955C8"/>
    <w:rsid w:val="00697A48"/>
    <w:rsid w:val="006A006E"/>
    <w:rsid w:val="006A0F11"/>
    <w:rsid w:val="006A6D2A"/>
    <w:rsid w:val="006C4201"/>
    <w:rsid w:val="006C5BC5"/>
    <w:rsid w:val="006C6F94"/>
    <w:rsid w:val="006D0CFC"/>
    <w:rsid w:val="006D4247"/>
    <w:rsid w:val="006D4A87"/>
    <w:rsid w:val="006E22D4"/>
    <w:rsid w:val="006E5506"/>
    <w:rsid w:val="006F20C0"/>
    <w:rsid w:val="006F2957"/>
    <w:rsid w:val="006F3557"/>
    <w:rsid w:val="006F3CD3"/>
    <w:rsid w:val="00701336"/>
    <w:rsid w:val="0072488B"/>
    <w:rsid w:val="00736EAF"/>
    <w:rsid w:val="00743059"/>
    <w:rsid w:val="00744F9E"/>
    <w:rsid w:val="0075215C"/>
    <w:rsid w:val="0076089C"/>
    <w:rsid w:val="007644F5"/>
    <w:rsid w:val="00770D31"/>
    <w:rsid w:val="0077343E"/>
    <w:rsid w:val="0077380F"/>
    <w:rsid w:val="00775DE8"/>
    <w:rsid w:val="00776848"/>
    <w:rsid w:val="007819F1"/>
    <w:rsid w:val="00781AA0"/>
    <w:rsid w:val="00784612"/>
    <w:rsid w:val="00796C79"/>
    <w:rsid w:val="007A4DD7"/>
    <w:rsid w:val="007A7D1B"/>
    <w:rsid w:val="007D21C8"/>
    <w:rsid w:val="007D5640"/>
    <w:rsid w:val="007E2A3F"/>
    <w:rsid w:val="007F0D0C"/>
    <w:rsid w:val="007F7FD9"/>
    <w:rsid w:val="008006EE"/>
    <w:rsid w:val="0081563D"/>
    <w:rsid w:val="008178F2"/>
    <w:rsid w:val="00830A84"/>
    <w:rsid w:val="00834D33"/>
    <w:rsid w:val="00850B68"/>
    <w:rsid w:val="00850BE4"/>
    <w:rsid w:val="00853D25"/>
    <w:rsid w:val="0086149B"/>
    <w:rsid w:val="00864969"/>
    <w:rsid w:val="00867763"/>
    <w:rsid w:val="00872094"/>
    <w:rsid w:val="00873F81"/>
    <w:rsid w:val="00883F92"/>
    <w:rsid w:val="008845B2"/>
    <w:rsid w:val="00891697"/>
    <w:rsid w:val="008A2006"/>
    <w:rsid w:val="008B1196"/>
    <w:rsid w:val="008B1EA0"/>
    <w:rsid w:val="008B2DEB"/>
    <w:rsid w:val="008B3D16"/>
    <w:rsid w:val="008C2803"/>
    <w:rsid w:val="008D4C91"/>
    <w:rsid w:val="008F789C"/>
    <w:rsid w:val="00905D97"/>
    <w:rsid w:val="0090648F"/>
    <w:rsid w:val="0093325F"/>
    <w:rsid w:val="009342F1"/>
    <w:rsid w:val="00941193"/>
    <w:rsid w:val="00960E29"/>
    <w:rsid w:val="009676E8"/>
    <w:rsid w:val="0097692F"/>
    <w:rsid w:val="00977F3D"/>
    <w:rsid w:val="00982910"/>
    <w:rsid w:val="009838A1"/>
    <w:rsid w:val="009946A0"/>
    <w:rsid w:val="009B517A"/>
    <w:rsid w:val="009C306A"/>
    <w:rsid w:val="009C5AC2"/>
    <w:rsid w:val="00A162A0"/>
    <w:rsid w:val="00A266E9"/>
    <w:rsid w:val="00A3514D"/>
    <w:rsid w:val="00A36588"/>
    <w:rsid w:val="00A36FA2"/>
    <w:rsid w:val="00A44538"/>
    <w:rsid w:val="00A52092"/>
    <w:rsid w:val="00A549EB"/>
    <w:rsid w:val="00A716E1"/>
    <w:rsid w:val="00A71EE9"/>
    <w:rsid w:val="00A74E88"/>
    <w:rsid w:val="00A761A8"/>
    <w:rsid w:val="00A94DF2"/>
    <w:rsid w:val="00A95797"/>
    <w:rsid w:val="00A97052"/>
    <w:rsid w:val="00A976D9"/>
    <w:rsid w:val="00AA720C"/>
    <w:rsid w:val="00AB2371"/>
    <w:rsid w:val="00AB2F14"/>
    <w:rsid w:val="00AB734C"/>
    <w:rsid w:val="00AC11B0"/>
    <w:rsid w:val="00AC4EA9"/>
    <w:rsid w:val="00AC6FCF"/>
    <w:rsid w:val="00AC7A71"/>
    <w:rsid w:val="00AD0992"/>
    <w:rsid w:val="00AD12A6"/>
    <w:rsid w:val="00AD2416"/>
    <w:rsid w:val="00AD69F0"/>
    <w:rsid w:val="00AE65F0"/>
    <w:rsid w:val="00AF532D"/>
    <w:rsid w:val="00B0376E"/>
    <w:rsid w:val="00B057D4"/>
    <w:rsid w:val="00B11640"/>
    <w:rsid w:val="00B13BCE"/>
    <w:rsid w:val="00B15461"/>
    <w:rsid w:val="00B17968"/>
    <w:rsid w:val="00B32B33"/>
    <w:rsid w:val="00B34234"/>
    <w:rsid w:val="00B34C00"/>
    <w:rsid w:val="00B45806"/>
    <w:rsid w:val="00B62B31"/>
    <w:rsid w:val="00B65AC1"/>
    <w:rsid w:val="00B774E4"/>
    <w:rsid w:val="00B866BC"/>
    <w:rsid w:val="00B87291"/>
    <w:rsid w:val="00B87E45"/>
    <w:rsid w:val="00B87FF1"/>
    <w:rsid w:val="00B91141"/>
    <w:rsid w:val="00B94159"/>
    <w:rsid w:val="00B970E4"/>
    <w:rsid w:val="00B976A5"/>
    <w:rsid w:val="00BA417F"/>
    <w:rsid w:val="00BA5CAE"/>
    <w:rsid w:val="00BB3239"/>
    <w:rsid w:val="00BB53D1"/>
    <w:rsid w:val="00BB63A0"/>
    <w:rsid w:val="00BC2971"/>
    <w:rsid w:val="00BD0623"/>
    <w:rsid w:val="00BD3AC9"/>
    <w:rsid w:val="00C01FE6"/>
    <w:rsid w:val="00C20DCC"/>
    <w:rsid w:val="00C3002B"/>
    <w:rsid w:val="00C316ED"/>
    <w:rsid w:val="00C31CC1"/>
    <w:rsid w:val="00C40A48"/>
    <w:rsid w:val="00C5453D"/>
    <w:rsid w:val="00C57163"/>
    <w:rsid w:val="00C60F33"/>
    <w:rsid w:val="00C8164C"/>
    <w:rsid w:val="00C86B81"/>
    <w:rsid w:val="00C86EE8"/>
    <w:rsid w:val="00C9148B"/>
    <w:rsid w:val="00CA3064"/>
    <w:rsid w:val="00CA357B"/>
    <w:rsid w:val="00CA6354"/>
    <w:rsid w:val="00CB1E8E"/>
    <w:rsid w:val="00CC33C0"/>
    <w:rsid w:val="00CC468B"/>
    <w:rsid w:val="00CD1107"/>
    <w:rsid w:val="00CD6828"/>
    <w:rsid w:val="00CD7501"/>
    <w:rsid w:val="00CE3086"/>
    <w:rsid w:val="00CE52FE"/>
    <w:rsid w:val="00D058C3"/>
    <w:rsid w:val="00D14622"/>
    <w:rsid w:val="00D152D4"/>
    <w:rsid w:val="00D174B2"/>
    <w:rsid w:val="00D22B6A"/>
    <w:rsid w:val="00D254B7"/>
    <w:rsid w:val="00D27FAF"/>
    <w:rsid w:val="00D36BBE"/>
    <w:rsid w:val="00D37882"/>
    <w:rsid w:val="00D40F32"/>
    <w:rsid w:val="00D41D7E"/>
    <w:rsid w:val="00D47C19"/>
    <w:rsid w:val="00D50E60"/>
    <w:rsid w:val="00D5125B"/>
    <w:rsid w:val="00D56400"/>
    <w:rsid w:val="00D56AA7"/>
    <w:rsid w:val="00D5734A"/>
    <w:rsid w:val="00D63D17"/>
    <w:rsid w:val="00D70262"/>
    <w:rsid w:val="00D7080E"/>
    <w:rsid w:val="00D82A96"/>
    <w:rsid w:val="00D8316E"/>
    <w:rsid w:val="00D83382"/>
    <w:rsid w:val="00D8509D"/>
    <w:rsid w:val="00D868CC"/>
    <w:rsid w:val="00D90DC6"/>
    <w:rsid w:val="00D9712A"/>
    <w:rsid w:val="00DB1D14"/>
    <w:rsid w:val="00DB43D3"/>
    <w:rsid w:val="00DB6200"/>
    <w:rsid w:val="00DC11EC"/>
    <w:rsid w:val="00DC3FA3"/>
    <w:rsid w:val="00DC4700"/>
    <w:rsid w:val="00DC7C81"/>
    <w:rsid w:val="00DD134A"/>
    <w:rsid w:val="00DD235D"/>
    <w:rsid w:val="00DD7FD3"/>
    <w:rsid w:val="00DE58E6"/>
    <w:rsid w:val="00DE6631"/>
    <w:rsid w:val="00DE6DC4"/>
    <w:rsid w:val="00DF1419"/>
    <w:rsid w:val="00E003FD"/>
    <w:rsid w:val="00E04C6A"/>
    <w:rsid w:val="00E1099D"/>
    <w:rsid w:val="00E121D3"/>
    <w:rsid w:val="00E17284"/>
    <w:rsid w:val="00E53A1F"/>
    <w:rsid w:val="00E56B9D"/>
    <w:rsid w:val="00E61AC0"/>
    <w:rsid w:val="00E634F5"/>
    <w:rsid w:val="00E70552"/>
    <w:rsid w:val="00E75520"/>
    <w:rsid w:val="00E75CBA"/>
    <w:rsid w:val="00E81C4C"/>
    <w:rsid w:val="00E84863"/>
    <w:rsid w:val="00E94417"/>
    <w:rsid w:val="00EA4B59"/>
    <w:rsid w:val="00EC323F"/>
    <w:rsid w:val="00EC3467"/>
    <w:rsid w:val="00EC4C73"/>
    <w:rsid w:val="00EC6A79"/>
    <w:rsid w:val="00ED0CF8"/>
    <w:rsid w:val="00ED1BE1"/>
    <w:rsid w:val="00ED1D2D"/>
    <w:rsid w:val="00F0093A"/>
    <w:rsid w:val="00F10AB4"/>
    <w:rsid w:val="00F128B9"/>
    <w:rsid w:val="00F13FC0"/>
    <w:rsid w:val="00F143BC"/>
    <w:rsid w:val="00F1540D"/>
    <w:rsid w:val="00F155FA"/>
    <w:rsid w:val="00F15E17"/>
    <w:rsid w:val="00F1765E"/>
    <w:rsid w:val="00F20C62"/>
    <w:rsid w:val="00F22A25"/>
    <w:rsid w:val="00F26216"/>
    <w:rsid w:val="00F26317"/>
    <w:rsid w:val="00F3116F"/>
    <w:rsid w:val="00F451BD"/>
    <w:rsid w:val="00F47832"/>
    <w:rsid w:val="00F5273A"/>
    <w:rsid w:val="00F54EC8"/>
    <w:rsid w:val="00F56F2F"/>
    <w:rsid w:val="00F91145"/>
    <w:rsid w:val="00FA6391"/>
    <w:rsid w:val="00FB55FB"/>
    <w:rsid w:val="00FB6DBF"/>
    <w:rsid w:val="00FD05D9"/>
    <w:rsid w:val="00FD2312"/>
    <w:rsid w:val="00FD3213"/>
    <w:rsid w:val="00FE5E3F"/>
    <w:rsid w:val="00FE7550"/>
    <w:rsid w:val="00FF0F3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34A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1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3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19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34A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1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DD9E15E75F6C2DCD3179D4AA9588A0714887C7CD7EF559963E730ABF6F43621077E23DF0EB836D85DE4806807511B72C41472554DDC4c9b5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DD9E15E75F6C2DCD3179D4AA9588A0714887C7CD7EF559963E730ABF6F43621077E23DF1EB8B6385DE4806807511B72C41472554DDC4c9b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DD9E15E75F6C2DCD3179D4AA9588A0714887C7CD7EF559963E730ABF6F43621077E23DF2EC8F6EDADB5D17D87A10AA33425B3956DCcCb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E87F-0487-4216-A307-76A7A49B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ksp</cp:lastModifiedBy>
  <cp:revision>215</cp:revision>
  <cp:lastPrinted>2024-10-08T03:19:00Z</cp:lastPrinted>
  <dcterms:created xsi:type="dcterms:W3CDTF">2018-05-24T03:10:00Z</dcterms:created>
  <dcterms:modified xsi:type="dcterms:W3CDTF">2025-09-18T02:27:00Z</dcterms:modified>
</cp:coreProperties>
</file>