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AA0D55" w:rsidRDefault="00AA0D55" w:rsidP="00AA0D55">
      <w:pPr>
        <w:jc w:val="center"/>
        <w:rPr>
          <w:b/>
        </w:rPr>
      </w:pPr>
    </w:p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AA0D55" w:rsidRDefault="00AA0D55" w:rsidP="00AA0D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AA0D55" w:rsidRDefault="00AA0D55" w:rsidP="00AA0D55">
      <w:pPr>
        <w:jc w:val="center"/>
        <w:rPr>
          <w:b/>
        </w:rPr>
      </w:pPr>
    </w:p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Заключение №  </w:t>
      </w:r>
      <w:r w:rsidR="004A3727">
        <w:rPr>
          <w:b/>
        </w:rPr>
        <w:t>14</w:t>
      </w:r>
      <w:bookmarkStart w:id="0" w:name="_GoBack"/>
      <w:bookmarkEnd w:id="0"/>
      <w:r>
        <w:rPr>
          <w:b/>
        </w:rPr>
        <w:t>-э</w:t>
      </w:r>
    </w:p>
    <w:p w:rsidR="00AA0D55" w:rsidRDefault="00AA0D55" w:rsidP="00AA0D55">
      <w:pPr>
        <w:jc w:val="center"/>
        <w:rPr>
          <w:b/>
          <w:i/>
        </w:rPr>
      </w:pPr>
      <w:r>
        <w:rPr>
          <w:b/>
        </w:rPr>
        <w:t>по результатам  экспертизы  проекта решения  Думы городского округа</w:t>
      </w:r>
      <w:proofErr w:type="gramStart"/>
      <w:r>
        <w:rPr>
          <w:b/>
        </w:rPr>
        <w:t xml:space="preserve">  </w:t>
      </w:r>
      <w:r>
        <w:rPr>
          <w:b/>
          <w:i/>
        </w:rPr>
        <w:t>О</w:t>
      </w:r>
      <w:proofErr w:type="gramEnd"/>
      <w:r>
        <w:rPr>
          <w:b/>
          <w:i/>
        </w:rPr>
        <w:t xml:space="preserve"> внесении изменений в реше</w:t>
      </w:r>
      <w:r w:rsidR="00062D2F">
        <w:rPr>
          <w:b/>
          <w:i/>
        </w:rPr>
        <w:t>ние Думы городского округа от 30.12.2013 года № 36</w:t>
      </w:r>
      <w:r>
        <w:rPr>
          <w:b/>
          <w:i/>
        </w:rPr>
        <w:t>-ДГО «О бюджете муниципального обр</w:t>
      </w:r>
      <w:r w:rsidR="00062D2F">
        <w:rPr>
          <w:b/>
          <w:i/>
        </w:rPr>
        <w:t>азования – «город Тулун» на 2014</w:t>
      </w:r>
      <w:r>
        <w:rPr>
          <w:b/>
          <w:i/>
        </w:rPr>
        <w:t xml:space="preserve"> год</w:t>
      </w:r>
      <w:r w:rsidR="00062D2F">
        <w:rPr>
          <w:b/>
          <w:i/>
        </w:rPr>
        <w:t xml:space="preserve"> и на плановый период 2015 и 2016 годов</w:t>
      </w:r>
      <w:r>
        <w:rPr>
          <w:b/>
          <w:i/>
        </w:rPr>
        <w:t>»</w:t>
      </w:r>
    </w:p>
    <w:p w:rsidR="00AA0D55" w:rsidRDefault="00AA0D55" w:rsidP="00AA0D55">
      <w:pPr>
        <w:jc w:val="center"/>
        <w:rPr>
          <w:b/>
        </w:rPr>
      </w:pPr>
    </w:p>
    <w:p w:rsidR="00AA0D55" w:rsidRDefault="00AA0D55" w:rsidP="00AA0D55">
      <w:pPr>
        <w:jc w:val="both"/>
        <w:rPr>
          <w:b/>
        </w:rPr>
      </w:pPr>
    </w:p>
    <w:p w:rsidR="00062D2F" w:rsidRDefault="00AA0D55" w:rsidP="00AA0D55">
      <w:pPr>
        <w:jc w:val="both"/>
        <w:rPr>
          <w:b/>
        </w:rPr>
      </w:pPr>
      <w:r>
        <w:rPr>
          <w:b/>
        </w:rPr>
        <w:t xml:space="preserve">    г. Тулун                                                                 </w:t>
      </w:r>
      <w:r w:rsidR="00062D2F">
        <w:rPr>
          <w:b/>
        </w:rPr>
        <w:t xml:space="preserve">                             28  октября   2014</w:t>
      </w:r>
      <w:r>
        <w:rPr>
          <w:b/>
        </w:rPr>
        <w:t xml:space="preserve">года </w:t>
      </w:r>
    </w:p>
    <w:p w:rsidR="00AA0D55" w:rsidRDefault="00AA0D55" w:rsidP="00AA0D5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AA0D55" w:rsidRDefault="00AA0D55" w:rsidP="00AA0D55">
      <w:pPr>
        <w:jc w:val="both"/>
        <w:rPr>
          <w:b/>
          <w:i/>
        </w:rPr>
      </w:pPr>
      <w:r>
        <w:t xml:space="preserve"> </w:t>
      </w:r>
      <w:r>
        <w:tab/>
      </w:r>
      <w:proofErr w:type="gramStart"/>
      <w:r>
        <w:t>Настоящее  заключение  подготовлено  председателем Контрольно – счетной палаты  муниципального образования – «город Тулун»  Новикевич Е.В.  на основании Положения о Контрольно -  счетной палате, по</w:t>
      </w:r>
      <w:r w:rsidR="00062D2F">
        <w:t>ручения председателя Думы  от 28.10.2014</w:t>
      </w:r>
      <w:r>
        <w:t xml:space="preserve"> о </w:t>
      </w:r>
      <w:r>
        <w:rPr>
          <w:b/>
        </w:rPr>
        <w:t xml:space="preserve">проведении экспертизы  проекта решения  Думы городского округа  </w:t>
      </w:r>
      <w:r>
        <w:rPr>
          <w:b/>
          <w:i/>
        </w:rPr>
        <w:t xml:space="preserve">О внесении изменений в решение Думы </w:t>
      </w:r>
      <w:r w:rsidR="00062D2F">
        <w:rPr>
          <w:b/>
          <w:i/>
        </w:rPr>
        <w:t>городского округа от 30.12.2013 года № 36</w:t>
      </w:r>
      <w:r>
        <w:rPr>
          <w:b/>
          <w:i/>
        </w:rPr>
        <w:t>-ДГО «О бюджете муниципального обр</w:t>
      </w:r>
      <w:r w:rsidR="00062D2F">
        <w:rPr>
          <w:b/>
          <w:i/>
        </w:rPr>
        <w:t>азования – «город Тулун» на 2014</w:t>
      </w:r>
      <w:r>
        <w:rPr>
          <w:b/>
          <w:i/>
        </w:rPr>
        <w:t xml:space="preserve"> год</w:t>
      </w:r>
      <w:r w:rsidR="00062D2F">
        <w:rPr>
          <w:b/>
          <w:i/>
        </w:rPr>
        <w:t xml:space="preserve"> и на плановый период 2015</w:t>
      </w:r>
      <w:proofErr w:type="gramEnd"/>
      <w:r w:rsidR="00062D2F">
        <w:rPr>
          <w:b/>
          <w:i/>
        </w:rPr>
        <w:t xml:space="preserve"> и 2016 года</w:t>
      </w:r>
      <w:r>
        <w:rPr>
          <w:b/>
          <w:i/>
        </w:rPr>
        <w:t xml:space="preserve">   (далее по тексту Проект).</w:t>
      </w:r>
    </w:p>
    <w:p w:rsidR="00AA0D55" w:rsidRDefault="00AA0D55" w:rsidP="00AA0D55">
      <w:pPr>
        <w:jc w:val="both"/>
        <w:rPr>
          <w:b/>
          <w:i/>
        </w:rPr>
      </w:pPr>
    </w:p>
    <w:p w:rsidR="00AA0D55" w:rsidRDefault="00AA0D55" w:rsidP="00AA0D55">
      <w:pPr>
        <w:jc w:val="both"/>
      </w:pPr>
      <w:r>
        <w:t xml:space="preserve">     </w:t>
      </w:r>
      <w:r>
        <w:tab/>
        <w:t xml:space="preserve"> Согласно представленному  Администрацией городског</w:t>
      </w:r>
      <w:r w:rsidR="00062D2F">
        <w:t xml:space="preserve">о округа </w:t>
      </w:r>
      <w:proofErr w:type="gramStart"/>
      <w:r w:rsidR="00062D2F">
        <w:t>Проекту</w:t>
      </w:r>
      <w:proofErr w:type="gramEnd"/>
      <w:r w:rsidR="00062D2F">
        <w:t xml:space="preserve">  внесенному в Думу городского округа 28</w:t>
      </w:r>
      <w:r>
        <w:t>.1</w:t>
      </w:r>
      <w:r w:rsidR="00062D2F">
        <w:t>1.2014</w:t>
      </w:r>
      <w:r>
        <w:t xml:space="preserve"> года, предлагается   утвердить доходы м</w:t>
      </w:r>
      <w:r w:rsidR="00062D2F">
        <w:t>естного бюджета в сумме 790 485</w:t>
      </w:r>
      <w:r>
        <w:t xml:space="preserve"> тыс. руб.,  из них  </w:t>
      </w:r>
      <w:r w:rsidR="00062D2F">
        <w:t>объем межбюджетных трансфертов – 539359</w:t>
      </w:r>
      <w:r>
        <w:t>,0 тыс. руб.  Расходы ме</w:t>
      </w:r>
      <w:r w:rsidR="00062D2F">
        <w:t>стного бюджета в объеме  815 575,7</w:t>
      </w:r>
      <w:r>
        <w:t xml:space="preserve"> тыс. рублей, дефицит местного бюджета предлагается к утверждени</w:t>
      </w:r>
      <w:r w:rsidR="00062D2F">
        <w:t>ю в объеме 25090,7 тыс. руб., или 9,9</w:t>
      </w:r>
      <w:r w:rsidR="00CD2E70">
        <w:t>9</w:t>
      </w:r>
      <w:r>
        <w:t>% объема доходов без учета безвозмездных поступлений.</w:t>
      </w:r>
      <w:r w:rsidR="00701F09">
        <w:t xml:space="preserve"> Основные параметры бюджета соответствуют бюджетному законодательству. Установленные замечания К</w:t>
      </w:r>
      <w:r w:rsidR="00062D2F">
        <w:t>СП, отмеченные в заключени</w:t>
      </w:r>
      <w:proofErr w:type="gramStart"/>
      <w:r w:rsidR="00062D2F">
        <w:t>и</w:t>
      </w:r>
      <w:proofErr w:type="gramEnd"/>
      <w:r w:rsidR="005172BA">
        <w:t xml:space="preserve">  </w:t>
      </w:r>
      <w:r w:rsidR="00062D2F">
        <w:t>№ 13</w:t>
      </w:r>
      <w:r w:rsidR="003B0FF5">
        <w:t>-э от 27.10.2014</w:t>
      </w:r>
      <w:r w:rsidR="00701F09">
        <w:t>г.,  устранены Админис</w:t>
      </w:r>
      <w:r w:rsidR="00CD2E70">
        <w:t>трацией городского округа.</w:t>
      </w:r>
    </w:p>
    <w:p w:rsidR="005172BA" w:rsidRPr="005172BA" w:rsidRDefault="005172BA" w:rsidP="005172BA">
      <w:pPr>
        <w:jc w:val="both"/>
        <w:rPr>
          <w:b/>
          <w:i/>
        </w:rPr>
      </w:pPr>
      <w:r>
        <w:t xml:space="preserve"> КСП в заключении № 13 –э</w:t>
      </w:r>
      <w:r w:rsidRPr="005172BA">
        <w:rPr>
          <w:b/>
        </w:rPr>
        <w:t xml:space="preserve"> </w:t>
      </w:r>
      <w:r w:rsidRPr="005172BA">
        <w:t>по результатам  экспертизы  проекта решения  Думы городского округа</w:t>
      </w:r>
      <w:proofErr w:type="gramStart"/>
      <w:r w:rsidRPr="005172BA">
        <w:t xml:space="preserve">  </w:t>
      </w:r>
      <w:r w:rsidRPr="005172BA">
        <w:rPr>
          <w:i/>
        </w:rPr>
        <w:t>О</w:t>
      </w:r>
      <w:proofErr w:type="gramEnd"/>
      <w:r w:rsidRPr="005172BA">
        <w:rPr>
          <w:i/>
        </w:rPr>
        <w:t xml:space="preserve"> внесении изменений в решение Думы городского округа от 30.12.2013 года № 36-ДГО «О бюджете муниципального образования – «город Тулун» на 2014 год и на плановый период 2015 и 2016 годов»</w:t>
      </w:r>
      <w:r>
        <w:t xml:space="preserve">  обратила внимание на утверждение п.14 Решения  предельного объема муниципального долга в размере 250 млн. рублей, полагает,  что данный объем завышен и  не соответствует действительности, пояснение со стороны финансового органа отсутствуют. </w:t>
      </w:r>
    </w:p>
    <w:p w:rsidR="00701F09" w:rsidRDefault="00701F09" w:rsidP="00AA0D55">
      <w:pPr>
        <w:jc w:val="both"/>
      </w:pPr>
    </w:p>
    <w:p w:rsidR="00AA0D55" w:rsidRDefault="00AA0D55" w:rsidP="00AA0D55">
      <w:pPr>
        <w:jc w:val="both"/>
        <w:rPr>
          <w:b/>
        </w:rPr>
      </w:pPr>
      <w:r>
        <w:rPr>
          <w:b/>
        </w:rPr>
        <w:t xml:space="preserve">                                                          Выводы</w:t>
      </w:r>
    </w:p>
    <w:p w:rsidR="00AA78EB" w:rsidRDefault="00AA78EB" w:rsidP="00AA0D55">
      <w:pPr>
        <w:jc w:val="both"/>
        <w:rPr>
          <w:b/>
        </w:rPr>
      </w:pPr>
    </w:p>
    <w:p w:rsidR="00701F09" w:rsidRPr="005172BA" w:rsidRDefault="005172BA" w:rsidP="00AA0D55">
      <w:pPr>
        <w:jc w:val="both"/>
        <w:rPr>
          <w:b/>
        </w:rPr>
      </w:pPr>
      <w:r>
        <w:t xml:space="preserve">   </w:t>
      </w:r>
      <w:r w:rsidR="00AA0D55">
        <w:t>Рассмотрев  представленные изменения в Проект</w:t>
      </w:r>
      <w:r>
        <w:t xml:space="preserve"> решения о бюджете</w:t>
      </w:r>
      <w:r w:rsidR="00AA0D55">
        <w:t xml:space="preserve">,   Контрольно – счетная палата </w:t>
      </w:r>
      <w:r w:rsidR="00CD2E70">
        <w:t xml:space="preserve"> </w:t>
      </w:r>
      <w:r w:rsidR="00CD2E70" w:rsidRPr="005172BA">
        <w:rPr>
          <w:b/>
        </w:rPr>
        <w:t>рекомендует д</w:t>
      </w:r>
      <w:r w:rsidR="00701F09" w:rsidRPr="005172BA">
        <w:rPr>
          <w:b/>
        </w:rPr>
        <w:t>епутатам Думы города Тулуна принять к утверждению.</w:t>
      </w:r>
    </w:p>
    <w:p w:rsidR="00CD2E70" w:rsidRDefault="005172BA" w:rsidP="00AA0D55">
      <w:pPr>
        <w:jc w:val="both"/>
      </w:pPr>
      <w:r>
        <w:t xml:space="preserve">    </w:t>
      </w:r>
      <w:r w:rsidR="00CD2E70">
        <w:t>Кроме того,  КСП  обращает  внимание  на установление предельного размера дефицита бюджета 9,99%  от объема собственных средств. Имеются риски к невыполнению расходных обязательств предусмотренных в расходной части бюджета</w:t>
      </w:r>
      <w:r w:rsidR="00502ACF">
        <w:t xml:space="preserve"> в объеме не менее </w:t>
      </w:r>
      <w:r w:rsidR="00502ACF" w:rsidRPr="005172BA">
        <w:rPr>
          <w:b/>
        </w:rPr>
        <w:t xml:space="preserve">31 </w:t>
      </w:r>
      <w:proofErr w:type="gramStart"/>
      <w:r w:rsidR="00502ACF" w:rsidRPr="005172BA">
        <w:rPr>
          <w:b/>
        </w:rPr>
        <w:t>млн</w:t>
      </w:r>
      <w:proofErr w:type="gramEnd"/>
      <w:r w:rsidR="00502ACF" w:rsidRPr="005172BA">
        <w:rPr>
          <w:b/>
        </w:rPr>
        <w:t xml:space="preserve"> рублей</w:t>
      </w:r>
      <w:r w:rsidR="00CD2E70">
        <w:t>.</w:t>
      </w:r>
      <w:r w:rsidR="00502ACF">
        <w:t xml:space="preserve"> </w:t>
      </w:r>
      <w:r w:rsidR="00CD2E70">
        <w:t xml:space="preserve"> Поскольку ожидаемое исполнение по собственным доходным источникам составит 790 млн. рублей, исполнение обязательств по полученным  в 2014 году кредитам, срок погашения </w:t>
      </w:r>
      <w:r>
        <w:t>которых определен  на декабрь</w:t>
      </w:r>
      <w:r w:rsidR="00CD2E70">
        <w:t>,</w:t>
      </w:r>
      <w:r>
        <w:t xml:space="preserve"> в размере </w:t>
      </w:r>
      <w:r w:rsidR="00CD2E70">
        <w:t>6 млн. рублей</w:t>
      </w:r>
      <w:r w:rsidR="00502ACF">
        <w:t xml:space="preserve">, </w:t>
      </w:r>
      <w:r w:rsidR="00502ACF">
        <w:lastRenderedPageBreak/>
        <w:t>расходные обязательства бюджета не подкрепленные финансовыми средствами составят 25 млн. руб.</w:t>
      </w:r>
    </w:p>
    <w:p w:rsidR="00502ACF" w:rsidRPr="005172BA" w:rsidRDefault="005172BA" w:rsidP="00AA0D55">
      <w:pPr>
        <w:jc w:val="both"/>
        <w:rPr>
          <w:u w:val="single"/>
        </w:rPr>
      </w:pPr>
      <w:r>
        <w:t xml:space="preserve">   </w:t>
      </w:r>
      <w:r w:rsidR="00502ACF">
        <w:t xml:space="preserve">В условиях имеющегося  риска  сбалансированности местного бюджета на конец финансового года, Администрацией городского округа, </w:t>
      </w:r>
      <w:r w:rsidR="00502ACF" w:rsidRPr="005172BA">
        <w:rPr>
          <w:u w:val="single"/>
        </w:rPr>
        <w:t>следовало обеспечить направление дополнительных поступлений по доходам  на снижение   бюджетного дефицита, а не на увеличение расходных обязательств.</w:t>
      </w:r>
    </w:p>
    <w:p w:rsidR="00502ACF" w:rsidRPr="005172BA" w:rsidRDefault="00502ACF" w:rsidP="00AA0D55">
      <w:pPr>
        <w:jc w:val="both"/>
        <w:rPr>
          <w:b/>
        </w:rPr>
      </w:pPr>
      <w:r w:rsidRPr="005172BA">
        <w:rPr>
          <w:b/>
        </w:rPr>
        <w:t xml:space="preserve">Полученная в течение 2014 года дотация на </w:t>
      </w:r>
      <w:r w:rsidR="007C6594" w:rsidRPr="005172BA">
        <w:rPr>
          <w:b/>
        </w:rPr>
        <w:t>поддержку мер по обеспечению сбалансированности местного бюджета в объеме 11 млн</w:t>
      </w:r>
      <w:r w:rsidR="00AA78EB" w:rsidRPr="005172BA">
        <w:rPr>
          <w:b/>
        </w:rPr>
        <w:t>.</w:t>
      </w:r>
      <w:r w:rsidR="007C6594" w:rsidRPr="005172BA">
        <w:rPr>
          <w:b/>
        </w:rPr>
        <w:t xml:space="preserve"> рублей</w:t>
      </w:r>
      <w:r w:rsidR="00AA78EB" w:rsidRPr="005172BA">
        <w:rPr>
          <w:b/>
        </w:rPr>
        <w:t xml:space="preserve"> не была направлена на уменьшение дефицита местного бюджета</w:t>
      </w:r>
      <w:r w:rsidR="007C6594" w:rsidRPr="005172BA">
        <w:rPr>
          <w:b/>
        </w:rPr>
        <w:t>,</w:t>
      </w:r>
      <w:r w:rsidR="00AA78EB" w:rsidRPr="005172BA">
        <w:rPr>
          <w:b/>
        </w:rPr>
        <w:t xml:space="preserve"> таким </w:t>
      </w:r>
      <w:proofErr w:type="gramStart"/>
      <w:r w:rsidR="00AA78EB" w:rsidRPr="005172BA">
        <w:rPr>
          <w:b/>
        </w:rPr>
        <w:t>образом</w:t>
      </w:r>
      <w:proofErr w:type="gramEnd"/>
      <w:r w:rsidR="007C6594" w:rsidRPr="005172BA">
        <w:rPr>
          <w:b/>
        </w:rPr>
        <w:t xml:space="preserve"> не обеспечила соблюдение принципа сбалансированности местного бюджета</w:t>
      </w:r>
      <w:r w:rsidR="00AA78EB" w:rsidRPr="005172BA">
        <w:rPr>
          <w:b/>
        </w:rPr>
        <w:t>, установленного  статьей</w:t>
      </w:r>
      <w:r w:rsidR="007C6594" w:rsidRPr="005172BA">
        <w:rPr>
          <w:b/>
        </w:rPr>
        <w:t xml:space="preserve"> 33 БК РФ.</w:t>
      </w:r>
      <w:r w:rsidRPr="005172BA">
        <w:rPr>
          <w:b/>
        </w:rPr>
        <w:t xml:space="preserve"> </w:t>
      </w: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</w:p>
    <w:p w:rsidR="00AA0D55" w:rsidRDefault="00701F09" w:rsidP="00AA0D55">
      <w:pPr>
        <w:jc w:val="both"/>
      </w:pPr>
      <w:r>
        <w:t xml:space="preserve"> </w:t>
      </w:r>
      <w:r w:rsidR="00AA0D55">
        <w:t xml:space="preserve">Председатель Контрольно-   </w:t>
      </w:r>
    </w:p>
    <w:p w:rsidR="00AA0D55" w:rsidRDefault="00AA0D55" w:rsidP="00AA0D55">
      <w:pPr>
        <w:jc w:val="both"/>
      </w:pPr>
      <w:r>
        <w:t>счетной палаты г. Тулуна                                                                                  Е.В. Новикевич</w:t>
      </w:r>
    </w:p>
    <w:p w:rsidR="00205712" w:rsidRDefault="00205712"/>
    <w:sectPr w:rsidR="002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5"/>
    <w:rsid w:val="00017403"/>
    <w:rsid w:val="0002699E"/>
    <w:rsid w:val="00062D2F"/>
    <w:rsid w:val="000F278B"/>
    <w:rsid w:val="00106258"/>
    <w:rsid w:val="00116711"/>
    <w:rsid w:val="001235D9"/>
    <w:rsid w:val="001A2C98"/>
    <w:rsid w:val="001C67FF"/>
    <w:rsid w:val="00205712"/>
    <w:rsid w:val="002269FF"/>
    <w:rsid w:val="00263558"/>
    <w:rsid w:val="0032278B"/>
    <w:rsid w:val="0033309E"/>
    <w:rsid w:val="003432BD"/>
    <w:rsid w:val="00343F06"/>
    <w:rsid w:val="003B0FF5"/>
    <w:rsid w:val="003C038E"/>
    <w:rsid w:val="003C2028"/>
    <w:rsid w:val="003C33A0"/>
    <w:rsid w:val="003C5BEA"/>
    <w:rsid w:val="003E0298"/>
    <w:rsid w:val="003F2FD5"/>
    <w:rsid w:val="00414D7C"/>
    <w:rsid w:val="00422BB1"/>
    <w:rsid w:val="00436D24"/>
    <w:rsid w:val="00463E92"/>
    <w:rsid w:val="004A3727"/>
    <w:rsid w:val="00502ACF"/>
    <w:rsid w:val="005172BA"/>
    <w:rsid w:val="00522F61"/>
    <w:rsid w:val="005C3EF3"/>
    <w:rsid w:val="005D61C4"/>
    <w:rsid w:val="00624252"/>
    <w:rsid w:val="00654E0D"/>
    <w:rsid w:val="006918C6"/>
    <w:rsid w:val="00692A00"/>
    <w:rsid w:val="006972DD"/>
    <w:rsid w:val="006A026B"/>
    <w:rsid w:val="006B4C01"/>
    <w:rsid w:val="006C0BB3"/>
    <w:rsid w:val="006D2C8F"/>
    <w:rsid w:val="00701F09"/>
    <w:rsid w:val="00722101"/>
    <w:rsid w:val="00723EDB"/>
    <w:rsid w:val="007C6594"/>
    <w:rsid w:val="007D0CD8"/>
    <w:rsid w:val="008042FC"/>
    <w:rsid w:val="00812E62"/>
    <w:rsid w:val="00821C58"/>
    <w:rsid w:val="00861264"/>
    <w:rsid w:val="008C50C9"/>
    <w:rsid w:val="00904FA8"/>
    <w:rsid w:val="009261F7"/>
    <w:rsid w:val="00944B01"/>
    <w:rsid w:val="00960A37"/>
    <w:rsid w:val="00994621"/>
    <w:rsid w:val="009A71FA"/>
    <w:rsid w:val="009B5699"/>
    <w:rsid w:val="00A72B57"/>
    <w:rsid w:val="00AA02BF"/>
    <w:rsid w:val="00AA0D55"/>
    <w:rsid w:val="00AA78EB"/>
    <w:rsid w:val="00B64679"/>
    <w:rsid w:val="00B778E9"/>
    <w:rsid w:val="00BC3620"/>
    <w:rsid w:val="00C07742"/>
    <w:rsid w:val="00C5483D"/>
    <w:rsid w:val="00C6114F"/>
    <w:rsid w:val="00CD2E70"/>
    <w:rsid w:val="00CD4BE6"/>
    <w:rsid w:val="00CF643D"/>
    <w:rsid w:val="00D310F5"/>
    <w:rsid w:val="00D506B3"/>
    <w:rsid w:val="00D87A58"/>
    <w:rsid w:val="00D9136A"/>
    <w:rsid w:val="00D9372C"/>
    <w:rsid w:val="00DC30DB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2014-10-29T07:53:00Z</cp:lastPrinted>
  <dcterms:created xsi:type="dcterms:W3CDTF">2013-12-23T13:47:00Z</dcterms:created>
  <dcterms:modified xsi:type="dcterms:W3CDTF">2014-10-29T01:45:00Z</dcterms:modified>
</cp:coreProperties>
</file>