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414AC7" w:rsidTr="00414AC7">
        <w:trPr>
          <w:cantSplit/>
        </w:trPr>
        <w:tc>
          <w:tcPr>
            <w:tcW w:w="9716" w:type="dxa"/>
            <w:hideMark/>
          </w:tcPr>
          <w:p w:rsidR="00414AC7" w:rsidRDefault="00414AC7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РОССИЙСКАЯ  ФЕДЕРАЦИЯ</w:t>
            </w:r>
          </w:p>
          <w:p w:rsidR="00414AC7" w:rsidRDefault="00414AC7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ИРКУТСКАЯ ОБЛАСТЬ</w:t>
            </w:r>
          </w:p>
        </w:tc>
      </w:tr>
      <w:tr w:rsidR="00414AC7" w:rsidTr="00414AC7">
        <w:trPr>
          <w:cantSplit/>
        </w:trPr>
        <w:tc>
          <w:tcPr>
            <w:tcW w:w="9716" w:type="dxa"/>
          </w:tcPr>
          <w:p w:rsidR="00414AC7" w:rsidRDefault="00414AC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14AC7" w:rsidRDefault="00414AC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МУНИЦИПАЛЬНОЕ  УЧРЕЖДЕНИЕ  «КОНТРОЛЬНО-СЧЕТНАЯ  ПАЛАТА  </w:t>
            </w:r>
          </w:p>
          <w:p w:rsidR="00414AC7" w:rsidRDefault="00414AC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ГОРОДСКОГО  ОКРУГА  МУНИЦИПАЛЬНОГО  ОБРАЗОВАНИЯ – «ГОРОД ТУЛУН»</w:t>
            </w:r>
          </w:p>
        </w:tc>
      </w:tr>
      <w:tr w:rsidR="00414AC7" w:rsidTr="00414AC7">
        <w:trPr>
          <w:cantSplit/>
        </w:trPr>
        <w:tc>
          <w:tcPr>
            <w:tcW w:w="9716" w:type="dxa"/>
          </w:tcPr>
          <w:p w:rsidR="00414AC7" w:rsidRDefault="00414AC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14AC7" w:rsidTr="00414AC7">
        <w:trPr>
          <w:cantSplit/>
        </w:trPr>
        <w:tc>
          <w:tcPr>
            <w:tcW w:w="9716" w:type="dxa"/>
            <w:hideMark/>
          </w:tcPr>
          <w:p w:rsidR="00414AC7" w:rsidRDefault="00414AC7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414AC7" w:rsidRDefault="00414AC7" w:rsidP="00414AC7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</w:p>
    <w:p w:rsidR="00414AC7" w:rsidRDefault="00414AC7" w:rsidP="00414AC7">
      <w:pPr>
        <w:jc w:val="both"/>
      </w:pPr>
    </w:p>
    <w:p w:rsidR="00414AC7" w:rsidRDefault="00414AC7" w:rsidP="00414AC7">
      <w:pPr>
        <w:jc w:val="both"/>
      </w:pPr>
      <w:r>
        <w:t xml:space="preserve"> "06" апреля  2015 года                                                                                                 г.Тулун</w:t>
      </w:r>
    </w:p>
    <w:p w:rsidR="00414AC7" w:rsidRDefault="00414AC7" w:rsidP="00414AC7">
      <w:pPr>
        <w:jc w:val="both"/>
      </w:pPr>
    </w:p>
    <w:p w:rsidR="000D73CB" w:rsidRDefault="00893471" w:rsidP="00414AC7">
      <w:pPr>
        <w:jc w:val="center"/>
        <w:rPr>
          <w:b/>
        </w:rPr>
      </w:pPr>
      <w:r>
        <w:rPr>
          <w:b/>
        </w:rPr>
        <w:t>З</w:t>
      </w:r>
      <w:r w:rsidR="000D73CB">
        <w:rPr>
          <w:b/>
        </w:rPr>
        <w:t>аключение</w:t>
      </w:r>
    </w:p>
    <w:p w:rsidR="00414AC7" w:rsidRDefault="00414AC7" w:rsidP="00414AC7">
      <w:pPr>
        <w:jc w:val="center"/>
        <w:rPr>
          <w:b/>
        </w:rPr>
      </w:pPr>
      <w:r>
        <w:rPr>
          <w:b/>
        </w:rPr>
        <w:t>по результатам внешней проверки годовой бюджетной отчетности главного распорядителя бюджетных средств МУ «Дума  муниципального образования</w:t>
      </w:r>
    </w:p>
    <w:p w:rsidR="00414AC7" w:rsidRDefault="00414AC7" w:rsidP="00414AC7">
      <w:pPr>
        <w:jc w:val="center"/>
        <w:rPr>
          <w:b/>
        </w:rPr>
      </w:pPr>
      <w:r>
        <w:rPr>
          <w:b/>
        </w:rPr>
        <w:t xml:space="preserve"> «город Тулун»   за 2014 год</w:t>
      </w:r>
    </w:p>
    <w:p w:rsidR="00414AC7" w:rsidRDefault="00414AC7" w:rsidP="00414AC7">
      <w:pPr>
        <w:jc w:val="center"/>
      </w:pPr>
    </w:p>
    <w:p w:rsidR="00414AC7" w:rsidRDefault="00414AC7" w:rsidP="00414AC7">
      <w:pPr>
        <w:jc w:val="center"/>
      </w:pPr>
    </w:p>
    <w:p w:rsidR="00414AC7" w:rsidRDefault="000D73CB" w:rsidP="006317FC">
      <w:pPr>
        <w:jc w:val="both"/>
      </w:pPr>
      <w:r>
        <w:tab/>
      </w:r>
      <w:r w:rsidR="006317FC">
        <w:t xml:space="preserve">Настоящее заключение  подготовлено Контрольно-счетной палатой г.Тулуна, на основании </w:t>
      </w:r>
      <w:proofErr w:type="spellStart"/>
      <w:r w:rsidR="006317FC">
        <w:t>ст.ст</w:t>
      </w:r>
      <w:proofErr w:type="spellEnd"/>
      <w:r w:rsidR="006317FC">
        <w:t>. 157, 264.4 Бюджетного кодекса РФ, ст.9 Федерального закона от 07.02.2011 №6-ФЗ «Об общих принципах организации и деятельности контрольно-счетных органов субъектов Российской Фе</w:t>
      </w:r>
      <w:r w:rsidR="0022195B">
        <w:t>дерации и муниципальных образований</w:t>
      </w:r>
      <w:r w:rsidR="006317FC">
        <w:t xml:space="preserve"> и п.2 с</w:t>
      </w:r>
      <w:r w:rsidR="0022195B">
        <w:t>т</w:t>
      </w:r>
      <w:r w:rsidR="006317FC">
        <w:t>.6 Решения Думы городского округа «Об</w:t>
      </w:r>
      <w:r w:rsidR="0022195B">
        <w:t xml:space="preserve"> </w:t>
      </w:r>
      <w:r w:rsidR="006317FC">
        <w:t>утверждении</w:t>
      </w:r>
      <w:r w:rsidR="0022195B">
        <w:t xml:space="preserve"> Положения о бюджетном процессе в муниципальном образовании </w:t>
      </w:r>
      <w:proofErr w:type="gramStart"/>
      <w:r w:rsidR="0022195B">
        <w:t>–«</w:t>
      </w:r>
      <w:proofErr w:type="gramEnd"/>
      <w:r w:rsidR="0022195B">
        <w:t>город Тулун» от 13.05.2013 №06-ДГО.</w:t>
      </w:r>
    </w:p>
    <w:p w:rsidR="0022195B" w:rsidRDefault="0022195B" w:rsidP="006317FC">
      <w:pPr>
        <w:jc w:val="both"/>
      </w:pPr>
      <w:r>
        <w:tab/>
        <w:t>Представленная  для внешней проверки годовая бюджетная отчетность за 2014 год составлена главным распорядителем бюджетных средств - МУ «Дума г.Тулуна»</w:t>
      </w:r>
      <w:r w:rsidR="00BE2693">
        <w:t xml:space="preserve"> (далее ГРБС)</w:t>
      </w:r>
      <w:r>
        <w:t>.</w:t>
      </w:r>
    </w:p>
    <w:p w:rsidR="0022195B" w:rsidRDefault="0022195B" w:rsidP="006317FC">
      <w:pPr>
        <w:jc w:val="both"/>
      </w:pPr>
    </w:p>
    <w:p w:rsidR="00C05CCD" w:rsidRDefault="0022195B" w:rsidP="0022195B">
      <w:pPr>
        <w:pStyle w:val="a3"/>
        <w:numPr>
          <w:ilvl w:val="0"/>
          <w:numId w:val="3"/>
        </w:numPr>
        <w:jc w:val="center"/>
      </w:pPr>
      <w:r>
        <w:t>Полнота бюджетной отчетности и ее соответствие требованиям нормативн</w:t>
      </w:r>
      <w:proofErr w:type="gramStart"/>
      <w:r>
        <w:t>о-</w:t>
      </w:r>
      <w:proofErr w:type="gramEnd"/>
      <w:r>
        <w:t xml:space="preserve"> правовых актов.</w:t>
      </w:r>
    </w:p>
    <w:p w:rsidR="00C05CCD" w:rsidRDefault="00C05CCD" w:rsidP="00C05CCD">
      <w:pPr>
        <w:pStyle w:val="a3"/>
      </w:pPr>
      <w:r>
        <w:t xml:space="preserve"> </w:t>
      </w:r>
    </w:p>
    <w:p w:rsidR="00C05CCD" w:rsidRDefault="0022195B" w:rsidP="00C05CCD">
      <w:pPr>
        <w:autoSpaceDE w:val="0"/>
        <w:autoSpaceDN w:val="0"/>
        <w:adjustRightInd w:val="0"/>
        <w:ind w:firstLine="540"/>
        <w:jc w:val="both"/>
      </w:pPr>
      <w:proofErr w:type="gramStart"/>
      <w:r>
        <w:t>В соответствии с Приказом Мин</w:t>
      </w:r>
      <w:r w:rsidR="00C05CCD">
        <w:t>истерства Финансов</w:t>
      </w:r>
      <w:r>
        <w:t xml:space="preserve"> РФ от 28 декабря 2010 г. N 191н </w:t>
      </w:r>
      <w:r w:rsidR="00C05CCD">
        <w:t>«Об утверждении инструкции о порядке составления  и представления годовой, квартальной и месячной отчетности об исполнении бюджетов бюджетной системы Российской Федерации»</w:t>
      </w:r>
      <w:r>
        <w:t xml:space="preserve"> </w:t>
      </w:r>
      <w:r w:rsidR="00C05CCD">
        <w:t>(далее Инструкция) бюджетная отчетность</w:t>
      </w:r>
      <w:r w:rsidR="00C05CCD" w:rsidRPr="00C05CCD">
        <w:rPr>
          <w:rFonts w:eastAsiaTheme="minorHAnsi"/>
          <w:lang w:eastAsia="en-US"/>
        </w:rPr>
        <w:t xml:space="preserve"> </w:t>
      </w:r>
      <w:r w:rsidR="00C05CCD">
        <w:rPr>
          <w:rFonts w:eastAsiaTheme="minorHAnsi"/>
          <w:lang w:eastAsia="en-US"/>
        </w:rPr>
        <w:t xml:space="preserve">представлена </w:t>
      </w:r>
      <w:r w:rsidR="00C05CCD">
        <w:rPr>
          <w:rFonts w:eastAsiaTheme="minorHAnsi"/>
          <w:lang w:eastAsia="en-US"/>
        </w:rPr>
        <w:t>на бумажном носителе в сброшюрованном и пронумерованном виде с оглавлением и сопроводительным письмом</w:t>
      </w:r>
      <w:r w:rsidR="00C05CCD">
        <w:rPr>
          <w:rFonts w:eastAsiaTheme="minorHAnsi"/>
          <w:lang w:eastAsia="en-US"/>
        </w:rPr>
        <w:t xml:space="preserve">, бюджетная отчетность </w:t>
      </w:r>
      <w:r w:rsidR="00C05CCD">
        <w:t xml:space="preserve">подписана руководителем и главным бухгалтером </w:t>
      </w:r>
      <w:r w:rsidR="00BE2693">
        <w:t>ГРБС</w:t>
      </w:r>
      <w:proofErr w:type="gramEnd"/>
      <w:r w:rsidR="00C05CCD">
        <w:t>, что соответствует п.п.2-6 Инструкции.</w:t>
      </w:r>
    </w:p>
    <w:p w:rsidR="00FD5CD2" w:rsidRPr="00FD5CD2" w:rsidRDefault="00FD5CD2" w:rsidP="00FD5CD2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FD5CD2">
        <w:rPr>
          <w:rFonts w:eastAsiaTheme="minorHAnsi"/>
          <w:bCs/>
          <w:lang w:eastAsia="en-US"/>
        </w:rPr>
        <w:t>Бюджетная отчетность в соответствии с п.9 Инструкции составлена нарастающим итогом с начала года в рублях с точностью до второго десятичного знака после запятой</w:t>
      </w:r>
      <w:r>
        <w:rPr>
          <w:rFonts w:eastAsiaTheme="minorHAnsi"/>
          <w:bCs/>
          <w:lang w:eastAsia="en-US"/>
        </w:rPr>
        <w:t>.</w:t>
      </w:r>
    </w:p>
    <w:p w:rsidR="00BE2693" w:rsidRDefault="00BE2693" w:rsidP="00BE2693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  <w:r>
        <w:t xml:space="preserve">Пояснительная записка (ф.0503160) оформлена </w:t>
      </w:r>
      <w:r w:rsidR="002B1E73">
        <w:t>ГРБС</w:t>
      </w:r>
      <w:r>
        <w:t xml:space="preserve"> с учетом установленных требований Инструкции, содержит все предусмотренные разделы.</w:t>
      </w:r>
      <w:r>
        <w:rPr>
          <w:i/>
        </w:rPr>
        <w:t xml:space="preserve"> </w:t>
      </w:r>
    </w:p>
    <w:p w:rsidR="00BE2693" w:rsidRDefault="00BE2693" w:rsidP="00BE2693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FD5CD2" w:rsidRPr="00FD5CD2" w:rsidRDefault="00FD5CD2" w:rsidP="00C05CCD">
      <w:pPr>
        <w:autoSpaceDE w:val="0"/>
        <w:autoSpaceDN w:val="0"/>
        <w:adjustRightInd w:val="0"/>
        <w:ind w:firstLine="540"/>
        <w:jc w:val="both"/>
        <w:rPr>
          <w:rFonts w:eastAsiaTheme="minorHAnsi"/>
          <w:u w:val="single"/>
          <w:lang w:eastAsia="en-US"/>
        </w:rPr>
      </w:pPr>
    </w:p>
    <w:p w:rsidR="0022195B" w:rsidRDefault="00C05CCD" w:rsidP="00C05CCD">
      <w:pPr>
        <w:widowControl w:val="0"/>
        <w:autoSpaceDE w:val="0"/>
        <w:autoSpaceDN w:val="0"/>
        <w:adjustRightInd w:val="0"/>
        <w:jc w:val="center"/>
      </w:pPr>
      <w:r>
        <w:t>2.Анализ данных бюджетной отчетности</w:t>
      </w:r>
    </w:p>
    <w:p w:rsidR="0022195B" w:rsidRDefault="0022195B" w:rsidP="0022195B">
      <w:pPr>
        <w:ind w:left="360" w:firstLine="348"/>
        <w:jc w:val="both"/>
      </w:pPr>
    </w:p>
    <w:p w:rsidR="00414AC7" w:rsidRDefault="00414AC7" w:rsidP="00414AC7">
      <w:pPr>
        <w:ind w:firstLine="708"/>
        <w:jc w:val="both"/>
      </w:pPr>
      <w:r>
        <w:t xml:space="preserve">Отчет об исполнении бюджета главного распорядителя, получателя бюджетных средств (ф.0503127) содержит данные об исполнении бюджета главным распорядителем бюджетных средств МУ «Дума г.Тулуна» по расходам и источникам финансирования дефицита бюджета в соответствии с бюджетной классификацией РФ. Отчет составлен на основании данных по исполнению бюджета подведомственных получателей бюджетных средств, в рамках осуществляемой ими бюджетной деятельности. </w:t>
      </w:r>
      <w:proofErr w:type="gramStart"/>
      <w:r>
        <w:t xml:space="preserve">Согласно бюджетной </w:t>
      </w:r>
      <w:r>
        <w:lastRenderedPageBreak/>
        <w:t xml:space="preserve">отчетности исполнение по расходам за 2014 год  составило 8953,7 тыс.руб. или  98,7 %  от утвержденных бюджетных назначений (утверждено 9070,4 тыс.руб.),  в </w:t>
      </w:r>
      <w:proofErr w:type="spellStart"/>
      <w:r>
        <w:t>т.ч</w:t>
      </w:r>
      <w:proofErr w:type="spellEnd"/>
      <w:r>
        <w:t xml:space="preserve">.:  по подразделу 0103 расходы составили 5121,6  тыс.руб., по подразделу  0106  расходы составили  3832,1 тыс.руб.,  по подразделу 0705 6,0 тыс.руб., по подразделу  0113 расходы составили  280,4 тыс.рублей в </w:t>
      </w:r>
      <w:proofErr w:type="spellStart"/>
      <w:r>
        <w:t>т.ч</w:t>
      </w:r>
      <w:proofErr w:type="spellEnd"/>
      <w:r>
        <w:t>.: 60,6 тыс.руб. расходы на оплату услуг  телевидения</w:t>
      </w:r>
      <w:proofErr w:type="gramEnd"/>
      <w:r>
        <w:t>; 139,8 тыс.руб. услуги СМИ; 9,6 тыс.руб. расходы на обеспечение деятельности депутатов; 20,0 расходы на приобретение бланков, листы  грамот.</w:t>
      </w:r>
    </w:p>
    <w:p w:rsidR="00414AC7" w:rsidRDefault="00414AC7" w:rsidP="00414AC7">
      <w:pPr>
        <w:ind w:firstLine="708"/>
        <w:jc w:val="both"/>
      </w:pPr>
      <w:proofErr w:type="gramStart"/>
      <w:r>
        <w:rPr>
          <w:rFonts w:eastAsiaTheme="minorHAnsi"/>
          <w:lang w:eastAsia="en-US"/>
        </w:rPr>
        <w:t>Согласно Приказа</w:t>
      </w:r>
      <w:proofErr w:type="gramEnd"/>
      <w:r>
        <w:rPr>
          <w:rFonts w:eastAsiaTheme="minorHAnsi"/>
          <w:lang w:eastAsia="en-US"/>
        </w:rPr>
        <w:t xml:space="preserve"> Минфина России от 01.07.2013 №65-н «Об утверждении Указаний о порядке применения бюджетной классификации РФ»</w:t>
      </w:r>
      <w:r w:rsidR="0041065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 подразделу 0113 «Другие общегосударственные вопросы» подлежат отражению расходы на выполнение функций по общегосударственным вопросам, не отнесенным к другим подразделам данного раздела, в том числе на управление государственной (муниципальной) собственностью. В связи с тем, что расходы, отраженные по  подразделу 0113 в сумме 230,0 тыс.руб.  относятся к расходам представительного органа и должны отражаться по разделу </w:t>
      </w:r>
      <w:r>
        <w:t>соответствующему деятельности данного органа местного самоуправления, т.е. в подразделе 0103.</w:t>
      </w:r>
    </w:p>
    <w:p w:rsidR="00414AC7" w:rsidRDefault="00414AC7" w:rsidP="00414AC7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Отражение расходов в сумме 230,0 тыс.рублей по подразделу 0113 противоречит бюджетному законодательству, и несет за собой нарушение </w:t>
      </w:r>
      <w:r w:rsidR="00410657">
        <w:rPr>
          <w:rFonts w:eastAsiaTheme="minorHAnsi"/>
          <w:lang w:eastAsia="en-US"/>
        </w:rPr>
        <w:t>Указаний о порядке применения бюджетной классификации.</w:t>
      </w:r>
    </w:p>
    <w:p w:rsidR="00414AC7" w:rsidRDefault="000D73CB" w:rsidP="00414AC7">
      <w:pPr>
        <w:ind w:firstLine="709"/>
        <w:jc w:val="both"/>
      </w:pPr>
      <w:r>
        <w:t xml:space="preserve">Справка по консолидируемым расчетам (ф.0503125), показатели формы соответствую </w:t>
      </w:r>
      <w:r w:rsidR="00F7787D">
        <w:t xml:space="preserve"> показателям раздела №1 ф.0503168  «Сведения о  движении нефинансовых активов».</w:t>
      </w:r>
    </w:p>
    <w:p w:rsidR="00414AC7" w:rsidRDefault="00414AC7" w:rsidP="00414AC7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Отчет о принятых бюджетных обязательствах ф.0503128, на основании показателей формы установлено, что ГРБС принято бюджетных обязатель</w:t>
      </w:r>
      <w:proofErr w:type="gramStart"/>
      <w:r>
        <w:rPr>
          <w:rFonts w:eastAsia="Calibri"/>
          <w:lang w:eastAsia="en-US"/>
        </w:rPr>
        <w:t>ств св</w:t>
      </w:r>
      <w:proofErr w:type="gramEnd"/>
      <w:r>
        <w:rPr>
          <w:rFonts w:eastAsia="Calibri"/>
          <w:lang w:eastAsia="en-US"/>
        </w:rPr>
        <w:t xml:space="preserve">ерх утвержденных бюджетных назначений на сумму 330588,04 рублей. </w:t>
      </w:r>
    </w:p>
    <w:p w:rsidR="00410657" w:rsidRDefault="00F7787D" w:rsidP="00414AC7">
      <w:pPr>
        <w:autoSpaceDE w:val="0"/>
        <w:autoSpaceDN w:val="0"/>
        <w:adjustRightInd w:val="0"/>
        <w:ind w:firstLine="709"/>
        <w:jc w:val="both"/>
        <w:outlineLvl w:val="2"/>
      </w:pPr>
      <w:r>
        <w:t>Баланс главного распорядителя бюджетных средств ф.0503130, показатели баланса соответствуют  показателям раздела №4 ф.05013168</w:t>
      </w:r>
      <w:r w:rsidR="00410657">
        <w:t>, ф.0503169.</w:t>
      </w:r>
    </w:p>
    <w:p w:rsidR="00414AC7" w:rsidRDefault="00F7787D" w:rsidP="00414AC7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При проведении </w:t>
      </w:r>
      <w:proofErr w:type="gramStart"/>
      <w:r>
        <w:t>анализа показателей баланса подведомственных получателей бюджетных средств</w:t>
      </w:r>
      <w:proofErr w:type="gramEnd"/>
      <w:r>
        <w:t xml:space="preserve"> с показателями баланса ГРБС отклонений не установлено.</w:t>
      </w:r>
      <w:r w:rsidR="00414AC7">
        <w:rPr>
          <w:i/>
        </w:rPr>
        <w:t xml:space="preserve"> </w:t>
      </w:r>
    </w:p>
    <w:p w:rsidR="00414AC7" w:rsidRDefault="00414AC7" w:rsidP="00414AC7">
      <w:pPr>
        <w:ind w:firstLine="709"/>
        <w:jc w:val="both"/>
      </w:pPr>
      <w:r>
        <w:t>Сведения по дебиторской и кредиторской задолженности ф.0503169  соответствуют разделу баланса «Финансовые активы» и разделу баланса  «Обязательства»</w:t>
      </w:r>
      <w:r w:rsidR="00D9421B">
        <w:t xml:space="preserve"> ф. 0503130</w:t>
      </w:r>
      <w:r>
        <w:t>.</w:t>
      </w:r>
    </w:p>
    <w:p w:rsidR="00414AC7" w:rsidRDefault="00414AC7" w:rsidP="00414AC7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proofErr w:type="gramStart"/>
      <w:r>
        <w:rPr>
          <w:iCs/>
        </w:rPr>
        <w:t>При выборочной проверке  достоверности отражения показателей ф. 0503169 «</w:t>
      </w:r>
      <w:r>
        <w:t xml:space="preserve">Сведения по дебиторской и кредиторской задолженности» </w:t>
      </w:r>
      <w:r>
        <w:rPr>
          <w:iCs/>
        </w:rPr>
        <w:t xml:space="preserve">ГРБС установлено: в сведениях по кредиторской задолженности по КОСГУ 211«Заработная плата»  отражена сумма 53177,66 руб., фактически сумма задолженности по данной статье расходов составляет 77282,46руб., несоответствие указанной кредиторской задолженности  по КОСГУ 211 составило в сумме 24104,80 руб.. в </w:t>
      </w:r>
      <w:proofErr w:type="spellStart"/>
      <w:r>
        <w:rPr>
          <w:iCs/>
        </w:rPr>
        <w:t>т.ч</w:t>
      </w:r>
      <w:proofErr w:type="spellEnd"/>
      <w:r>
        <w:rPr>
          <w:iCs/>
        </w:rPr>
        <w:t>.: по подведомственным получателям бюджетных средств</w:t>
      </w:r>
      <w:proofErr w:type="gramEnd"/>
      <w:r>
        <w:rPr>
          <w:iCs/>
        </w:rPr>
        <w:t xml:space="preserve"> МУ «Дума г.Тулуна» - 9905,85 руб., МУ «КСП г.Тулуна» -14198,95 руб.</w:t>
      </w:r>
    </w:p>
    <w:p w:rsidR="00414AC7" w:rsidRDefault="00414AC7" w:rsidP="00414AC7">
      <w:pPr>
        <w:ind w:firstLine="540"/>
        <w:jc w:val="both"/>
        <w:rPr>
          <w:iCs/>
        </w:rPr>
      </w:pPr>
      <w:r>
        <w:rPr>
          <w:iCs/>
        </w:rPr>
        <w:t xml:space="preserve">Сведения об исполнении бюджета (ф.0503164) сформированы на основании показателей Отчета об исполнении  бюджета (ф.0503127), в соответствии с п.163 Инструкции 191н. При составлении данной формы ГРБС допущены следующие нарушения: не заполнены гр. 3,4,5,6,7 по строке 200;  гр.4 по строке 450; гр.4 по строке 500; в детализирующей строке к строке 200 не заполнена графа 7. </w:t>
      </w:r>
    </w:p>
    <w:p w:rsidR="00414AC7" w:rsidRDefault="00414AC7" w:rsidP="00414AC7">
      <w:pPr>
        <w:ind w:firstLine="540"/>
        <w:jc w:val="both"/>
        <w:rPr>
          <w:iCs/>
        </w:rPr>
      </w:pPr>
      <w:r>
        <w:rPr>
          <w:iCs/>
        </w:rPr>
        <w:t xml:space="preserve">По подведомственным получателям бюджетных средств, так же допущены нарушения при заполнении ф. 0503164 в </w:t>
      </w:r>
      <w:proofErr w:type="spellStart"/>
      <w:r>
        <w:rPr>
          <w:iCs/>
        </w:rPr>
        <w:t>т.ч</w:t>
      </w:r>
      <w:proofErr w:type="spellEnd"/>
      <w:r>
        <w:rPr>
          <w:iCs/>
        </w:rPr>
        <w:t>.: МУ «Дума г.Тулуна» не заполнена гр.7  детализирующей строки к строке 200; МУ «КСП г.Тулуна» - не заполнены гр.3,4,5,6,7 детализирующей строки к строке200.</w:t>
      </w:r>
    </w:p>
    <w:p w:rsidR="00893471" w:rsidRDefault="00893471" w:rsidP="00414AC7">
      <w:pPr>
        <w:ind w:firstLine="540"/>
        <w:jc w:val="both"/>
        <w:rPr>
          <w:iCs/>
        </w:rPr>
      </w:pPr>
    </w:p>
    <w:p w:rsidR="00893471" w:rsidRDefault="00893471" w:rsidP="00414AC7">
      <w:pPr>
        <w:ind w:firstLine="540"/>
        <w:jc w:val="both"/>
        <w:rPr>
          <w:iCs/>
        </w:rPr>
      </w:pPr>
    </w:p>
    <w:p w:rsidR="002B1E73" w:rsidRDefault="002B1E73" w:rsidP="00414AC7">
      <w:pPr>
        <w:ind w:firstLine="540"/>
        <w:jc w:val="both"/>
      </w:pPr>
    </w:p>
    <w:p w:rsidR="00414AC7" w:rsidRDefault="002B1E73" w:rsidP="002B1E73">
      <w:pPr>
        <w:autoSpaceDE w:val="0"/>
        <w:autoSpaceDN w:val="0"/>
        <w:adjustRightInd w:val="0"/>
        <w:ind w:firstLine="540"/>
        <w:jc w:val="center"/>
        <w:outlineLvl w:val="2"/>
      </w:pPr>
      <w:r w:rsidRPr="002B1E73">
        <w:lastRenderedPageBreak/>
        <w:t>3.Заключение</w:t>
      </w:r>
    </w:p>
    <w:p w:rsidR="002B1E73" w:rsidRDefault="002B1E73" w:rsidP="002B1E73">
      <w:pPr>
        <w:autoSpaceDE w:val="0"/>
        <w:autoSpaceDN w:val="0"/>
        <w:adjustRightInd w:val="0"/>
        <w:ind w:firstLine="540"/>
        <w:jc w:val="center"/>
        <w:outlineLvl w:val="2"/>
      </w:pPr>
    </w:p>
    <w:p w:rsidR="002B1E73" w:rsidRPr="002B1E73" w:rsidRDefault="002B1E73" w:rsidP="002B1E73">
      <w:pPr>
        <w:autoSpaceDE w:val="0"/>
        <w:autoSpaceDN w:val="0"/>
        <w:adjustRightInd w:val="0"/>
        <w:ind w:firstLine="540"/>
        <w:jc w:val="both"/>
        <w:outlineLvl w:val="2"/>
      </w:pPr>
      <w:r>
        <w:t>Бюджетная отчетность ГРБС в целом составлена в соответствии с требованиями Инструкции, представлена в полном объеме и в срок, установленный для ГРБС.</w:t>
      </w:r>
    </w:p>
    <w:p w:rsidR="000B22D8" w:rsidRDefault="00F82916" w:rsidP="00F82916">
      <w:pPr>
        <w:autoSpaceDE w:val="0"/>
        <w:autoSpaceDN w:val="0"/>
        <w:adjustRightInd w:val="0"/>
        <w:ind w:firstLine="540"/>
        <w:jc w:val="both"/>
        <w:outlineLvl w:val="2"/>
      </w:pPr>
      <w:r>
        <w:t>Фактов</w:t>
      </w:r>
      <w:r>
        <w:t xml:space="preserve"> </w:t>
      </w:r>
      <w:r>
        <w:t xml:space="preserve">неправомерного отсутствия </w:t>
      </w:r>
      <w:r>
        <w:t xml:space="preserve">предусмотренных форм </w:t>
      </w:r>
      <w:r>
        <w:t>годовой отчетности ГРБС не установлено.</w:t>
      </w:r>
    </w:p>
    <w:p w:rsidR="00DA23E2" w:rsidRDefault="00DA23E2" w:rsidP="00F82916">
      <w:pPr>
        <w:autoSpaceDE w:val="0"/>
        <w:autoSpaceDN w:val="0"/>
        <w:adjustRightInd w:val="0"/>
        <w:ind w:firstLine="540"/>
        <w:jc w:val="both"/>
        <w:outlineLvl w:val="2"/>
      </w:pPr>
      <w:bookmarkStart w:id="0" w:name="_GoBack"/>
      <w:bookmarkEnd w:id="0"/>
    </w:p>
    <w:p w:rsidR="00F82916" w:rsidRDefault="00F82916" w:rsidP="00F82916">
      <w:pPr>
        <w:autoSpaceDE w:val="0"/>
        <w:autoSpaceDN w:val="0"/>
        <w:adjustRightInd w:val="0"/>
        <w:ind w:firstLine="540"/>
        <w:jc w:val="both"/>
        <w:outlineLvl w:val="2"/>
      </w:pPr>
      <w:r>
        <w:t>Установлены следующие нарушения при составлении бюджетной отчетности:</w:t>
      </w:r>
    </w:p>
    <w:p w:rsidR="00A93E40" w:rsidRDefault="00A93E40" w:rsidP="00F8291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   </w:t>
      </w:r>
    </w:p>
    <w:p w:rsidR="00A93E40" w:rsidRDefault="00A93E40" w:rsidP="00A93E4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>
        <w:t>Отчет об исполнении бюджета ГРБС ф.0503127</w:t>
      </w:r>
    </w:p>
    <w:p w:rsidR="00A93E40" w:rsidRDefault="00893471" w:rsidP="00A93E40">
      <w:pPr>
        <w:pStyle w:val="a3"/>
        <w:autoSpaceDE w:val="0"/>
        <w:autoSpaceDN w:val="0"/>
        <w:adjustRightInd w:val="0"/>
        <w:ind w:left="900"/>
        <w:jc w:val="both"/>
        <w:outlineLvl w:val="2"/>
      </w:pPr>
      <w:r>
        <w:t xml:space="preserve">В нарушение </w:t>
      </w:r>
      <w:r w:rsidR="002B1E73">
        <w:t xml:space="preserve"> </w:t>
      </w:r>
      <w:r w:rsidR="002B1E73">
        <w:rPr>
          <w:rFonts w:eastAsiaTheme="minorHAnsi"/>
          <w:lang w:eastAsia="en-US"/>
        </w:rPr>
        <w:t xml:space="preserve">Приказа Минфина России от 01.07.2013 №65-н «Об утверждении Указаний о порядке применения бюджетной классификации РФ» </w:t>
      </w:r>
      <w:r>
        <w:rPr>
          <w:rFonts w:eastAsiaTheme="minorHAnsi"/>
          <w:lang w:eastAsia="en-US"/>
        </w:rPr>
        <w:t xml:space="preserve"> не правомерно </w:t>
      </w:r>
      <w:r w:rsidR="00A93E40">
        <w:rPr>
          <w:rFonts w:eastAsiaTheme="minorHAnsi"/>
          <w:lang w:eastAsia="en-US"/>
        </w:rPr>
        <w:t xml:space="preserve">завышены </w:t>
      </w:r>
      <w:r w:rsidR="00F82916">
        <w:t>расход</w:t>
      </w:r>
      <w:r>
        <w:t>ы</w:t>
      </w:r>
      <w:r w:rsidR="00F82916">
        <w:t xml:space="preserve"> </w:t>
      </w:r>
      <w:r w:rsidR="00A93E40">
        <w:t xml:space="preserve">по подразделу 0113 на сумму </w:t>
      </w:r>
      <w:r w:rsidR="00F82916">
        <w:t xml:space="preserve"> 230, тыс.руб.</w:t>
      </w:r>
    </w:p>
    <w:p w:rsidR="002B1E73" w:rsidRDefault="00893471" w:rsidP="00A93E40">
      <w:pPr>
        <w:pStyle w:val="a3"/>
        <w:autoSpaceDE w:val="0"/>
        <w:autoSpaceDN w:val="0"/>
        <w:adjustRightInd w:val="0"/>
        <w:ind w:left="900"/>
        <w:jc w:val="both"/>
        <w:outlineLvl w:val="2"/>
      </w:pPr>
      <w:r>
        <w:t xml:space="preserve">расходы по подразделу 0103 отражены в сумме 5121,6 тыс.руб., следовало 5351,6 тыс.руб., отклонение (-230,0) тыс.руб.; по подразделу 0113 </w:t>
      </w:r>
      <w:r w:rsidR="00A93E40">
        <w:t xml:space="preserve">расходы </w:t>
      </w:r>
      <w:r>
        <w:t xml:space="preserve">отражены в сумме 280,4 тыс.руб., следовало </w:t>
      </w:r>
      <w:r w:rsidR="00A93E40">
        <w:t>50,4 тыс.руб., отклонение (+230,0) тыс.руб.</w:t>
      </w:r>
    </w:p>
    <w:p w:rsidR="00A93E40" w:rsidRDefault="00A93E40" w:rsidP="00F8291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>
        <w:t>Отчет о принятых  бюджетных обязательствах ф.0503128</w:t>
      </w:r>
    </w:p>
    <w:p w:rsidR="00A93E40" w:rsidRDefault="003C43D3" w:rsidP="00A93E40">
      <w:pPr>
        <w:pStyle w:val="a3"/>
        <w:autoSpaceDE w:val="0"/>
        <w:autoSpaceDN w:val="0"/>
        <w:adjustRightInd w:val="0"/>
        <w:ind w:left="900"/>
        <w:jc w:val="both"/>
        <w:outlineLvl w:val="2"/>
      </w:pPr>
      <w:r>
        <w:t xml:space="preserve">В нарушение Бюджетного законодательства, </w:t>
      </w:r>
      <w:r w:rsidR="00F82916">
        <w:t>ГРБС принято бюджетных обязатель</w:t>
      </w:r>
      <w:proofErr w:type="gramStart"/>
      <w:r w:rsidR="00F82916">
        <w:t>ств св</w:t>
      </w:r>
      <w:proofErr w:type="gramEnd"/>
      <w:r w:rsidR="00F82916">
        <w:t>ерх утвержденных бюджетных назначений на сумму  330,6 тыс. руб</w:t>
      </w:r>
      <w:r w:rsidR="00A93E40">
        <w:t>лей.</w:t>
      </w:r>
    </w:p>
    <w:p w:rsidR="00A93E40" w:rsidRDefault="00A93E40" w:rsidP="00F8291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proofErr w:type="gramStart"/>
      <w:r>
        <w:t>Сведения о по дебиторской и кредиторской задолженности ф.0503169</w:t>
      </w:r>
      <w:proofErr w:type="gramEnd"/>
    </w:p>
    <w:p w:rsidR="00A93E40" w:rsidRDefault="00DA23E2" w:rsidP="00A93E40">
      <w:pPr>
        <w:pStyle w:val="a3"/>
        <w:autoSpaceDE w:val="0"/>
        <w:autoSpaceDN w:val="0"/>
        <w:adjustRightInd w:val="0"/>
        <w:ind w:left="900"/>
        <w:jc w:val="both"/>
        <w:outlineLvl w:val="2"/>
      </w:pPr>
      <w:r>
        <w:t>Установлено несоответствие показателей кредиторской задолженности  по КОСГУ 211 «Заработная плата», сумма фактической задолженности составила 77,3 тыс.руб., отражено 53,2 тыс.руб., отклонение составило (- 24,1) тыс.руб.</w:t>
      </w:r>
    </w:p>
    <w:p w:rsidR="00F82916" w:rsidRDefault="003C43D3" w:rsidP="00F8291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>
        <w:t>Допущены нарушения при составлении ф.0503164 «Сведения об исполнении бюджета».</w:t>
      </w:r>
    </w:p>
    <w:p w:rsidR="00414AC7" w:rsidRDefault="00414AC7" w:rsidP="00414AC7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DA23E2" w:rsidRDefault="00DA23E2" w:rsidP="00414AC7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DA23E2" w:rsidRDefault="00DA23E2" w:rsidP="00414AC7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DA23E2" w:rsidRDefault="00DA23E2" w:rsidP="00414AC7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414AC7" w:rsidRDefault="00414AC7" w:rsidP="00414AC7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7F4C4B" w:rsidRDefault="00414AC7" w:rsidP="00414AC7">
      <w:r>
        <w:t xml:space="preserve">Председатель КСП г.Тулуна                                                           </w:t>
      </w:r>
      <w:r w:rsidR="00DA23E2">
        <w:t xml:space="preserve">    </w:t>
      </w:r>
      <w:r>
        <w:t xml:space="preserve">                 Е.В.Новикевич</w:t>
      </w:r>
    </w:p>
    <w:sectPr w:rsidR="007F4C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A8" w:rsidRDefault="00737CA8" w:rsidP="00F82916">
      <w:r>
        <w:separator/>
      </w:r>
    </w:p>
  </w:endnote>
  <w:endnote w:type="continuationSeparator" w:id="0">
    <w:p w:rsidR="00737CA8" w:rsidRDefault="00737CA8" w:rsidP="00F8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725401"/>
      <w:docPartObj>
        <w:docPartGallery w:val="Page Numbers (Bottom of Page)"/>
        <w:docPartUnique/>
      </w:docPartObj>
    </w:sdtPr>
    <w:sdtContent>
      <w:p w:rsidR="00F82916" w:rsidRDefault="00F829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3E2">
          <w:rPr>
            <w:noProof/>
          </w:rPr>
          <w:t>3</w:t>
        </w:r>
        <w:r>
          <w:fldChar w:fldCharType="end"/>
        </w:r>
      </w:p>
    </w:sdtContent>
  </w:sdt>
  <w:p w:rsidR="00F82916" w:rsidRDefault="00F829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A8" w:rsidRDefault="00737CA8" w:rsidP="00F82916">
      <w:r>
        <w:separator/>
      </w:r>
    </w:p>
  </w:footnote>
  <w:footnote w:type="continuationSeparator" w:id="0">
    <w:p w:rsidR="00737CA8" w:rsidRDefault="00737CA8" w:rsidP="00F8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569"/>
    <w:multiLevelType w:val="hybridMultilevel"/>
    <w:tmpl w:val="74568E34"/>
    <w:lvl w:ilvl="0" w:tplc="D31442C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>
    <w:nsid w:val="5FE22876"/>
    <w:multiLevelType w:val="hybridMultilevel"/>
    <w:tmpl w:val="EA30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C7"/>
    <w:rsid w:val="000B22D8"/>
    <w:rsid w:val="000D73CB"/>
    <w:rsid w:val="0022195B"/>
    <w:rsid w:val="002B1E73"/>
    <w:rsid w:val="003C43D3"/>
    <w:rsid w:val="00410657"/>
    <w:rsid w:val="00414AC7"/>
    <w:rsid w:val="006317FC"/>
    <w:rsid w:val="0071026C"/>
    <w:rsid w:val="00737CA8"/>
    <w:rsid w:val="007F4C4B"/>
    <w:rsid w:val="00893471"/>
    <w:rsid w:val="00A93E40"/>
    <w:rsid w:val="00BE2693"/>
    <w:rsid w:val="00C05CCD"/>
    <w:rsid w:val="00D9421B"/>
    <w:rsid w:val="00DA23E2"/>
    <w:rsid w:val="00F7787D"/>
    <w:rsid w:val="00F82916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2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3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2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3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E394-B7B3-41B1-B9F1-AAB7D194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кент</cp:lastModifiedBy>
  <cp:revision>5</cp:revision>
  <cp:lastPrinted>2015-04-07T02:06:00Z</cp:lastPrinted>
  <dcterms:created xsi:type="dcterms:W3CDTF">2015-04-06T08:07:00Z</dcterms:created>
  <dcterms:modified xsi:type="dcterms:W3CDTF">2015-04-07T02:23:00Z</dcterms:modified>
</cp:coreProperties>
</file>