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610" w:type="dxa"/>
        <w:tblLayout w:type="fixed"/>
        <w:tblLook w:val="00A0"/>
      </w:tblPr>
      <w:tblGrid>
        <w:gridCol w:w="11340"/>
      </w:tblGrid>
      <w:tr w:rsidR="005B7BD9" w:rsidRPr="00C15C66" w:rsidTr="00F00A48">
        <w:trPr>
          <w:cantSplit/>
        </w:trPr>
        <w:tc>
          <w:tcPr>
            <w:tcW w:w="11340" w:type="dxa"/>
          </w:tcPr>
          <w:p w:rsidR="005B7BD9" w:rsidRPr="00C15C66" w:rsidRDefault="005B7BD9">
            <w:pPr>
              <w:ind w:right="317"/>
              <w:jc w:val="center"/>
              <w:rPr>
                <w:b/>
                <w:sz w:val="22"/>
                <w:szCs w:val="22"/>
              </w:rPr>
            </w:pPr>
            <w:r w:rsidRPr="00C15C66">
              <w:rPr>
                <w:b/>
                <w:sz w:val="22"/>
                <w:szCs w:val="22"/>
              </w:rPr>
              <w:t>РОССИЙСКАЯ  ФЕДЕРАЦИЯ</w:t>
            </w:r>
          </w:p>
          <w:p w:rsidR="005B7BD9" w:rsidRPr="00C15C66" w:rsidRDefault="005B7BD9">
            <w:pPr>
              <w:ind w:right="317"/>
              <w:jc w:val="center"/>
              <w:rPr>
                <w:b/>
                <w:sz w:val="22"/>
                <w:szCs w:val="22"/>
              </w:rPr>
            </w:pPr>
            <w:r w:rsidRPr="00C15C66">
              <w:rPr>
                <w:b/>
                <w:sz w:val="22"/>
                <w:szCs w:val="22"/>
              </w:rPr>
              <w:t>ИРКУТСКАЯ ОБЛАСТЬ</w:t>
            </w:r>
          </w:p>
        </w:tc>
      </w:tr>
      <w:tr w:rsidR="005B7BD9" w:rsidRPr="00C15C66" w:rsidTr="00F00A48">
        <w:trPr>
          <w:cantSplit/>
        </w:trPr>
        <w:tc>
          <w:tcPr>
            <w:tcW w:w="11340" w:type="dxa"/>
          </w:tcPr>
          <w:p w:rsidR="005B7BD9" w:rsidRPr="00C15C66" w:rsidRDefault="005B7BD9">
            <w:pPr>
              <w:jc w:val="center"/>
              <w:rPr>
                <w:b/>
                <w:sz w:val="22"/>
                <w:szCs w:val="22"/>
              </w:rPr>
            </w:pPr>
          </w:p>
          <w:p w:rsidR="005B7BD9" w:rsidRPr="00C15C66" w:rsidRDefault="005B7BD9">
            <w:pPr>
              <w:jc w:val="center"/>
              <w:rPr>
                <w:b/>
                <w:sz w:val="22"/>
                <w:szCs w:val="22"/>
              </w:rPr>
            </w:pPr>
            <w:r w:rsidRPr="00C15C66">
              <w:rPr>
                <w:b/>
                <w:sz w:val="22"/>
                <w:szCs w:val="22"/>
              </w:rPr>
              <w:t xml:space="preserve">МУНИЦИПАЛЬНОЕ  УЧРЕЖДЕНИЕ  «КОНТРОЛЬНО-СЧЕТНАЯ  ПАЛАТА  </w:t>
            </w:r>
          </w:p>
          <w:p w:rsidR="005B7BD9" w:rsidRPr="00C15C66" w:rsidRDefault="005B7BD9">
            <w:pPr>
              <w:jc w:val="center"/>
              <w:rPr>
                <w:b/>
                <w:sz w:val="22"/>
                <w:szCs w:val="22"/>
              </w:rPr>
            </w:pPr>
            <w:r w:rsidRPr="00C15C66">
              <w:rPr>
                <w:b/>
                <w:sz w:val="22"/>
                <w:szCs w:val="22"/>
              </w:rPr>
              <w:t xml:space="preserve">ГОРОДСКОГО  ОКРУГА  МУНИЦИПАЛЬНОГО  ОБРАЗОВАНИЯ – </w:t>
            </w:r>
          </w:p>
          <w:p w:rsidR="005B7BD9" w:rsidRPr="00C15C66" w:rsidRDefault="005B7BD9">
            <w:pPr>
              <w:jc w:val="center"/>
              <w:rPr>
                <w:b/>
                <w:sz w:val="22"/>
                <w:szCs w:val="22"/>
              </w:rPr>
            </w:pPr>
            <w:r w:rsidRPr="00C15C66">
              <w:rPr>
                <w:b/>
                <w:sz w:val="22"/>
                <w:szCs w:val="22"/>
              </w:rPr>
              <w:t>«ГОРОД ТУЛУН»</w:t>
            </w:r>
          </w:p>
        </w:tc>
      </w:tr>
      <w:tr w:rsidR="005B7BD9" w:rsidRPr="00C15C66" w:rsidTr="00F00A48">
        <w:trPr>
          <w:cantSplit/>
        </w:trPr>
        <w:tc>
          <w:tcPr>
            <w:tcW w:w="11340" w:type="dxa"/>
          </w:tcPr>
          <w:p w:rsidR="005B7BD9" w:rsidRPr="00C15C66" w:rsidRDefault="005B7B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flip:y;z-index:251658240;visibility:visible;mso-wrap-distance-top:-3e-5mm;mso-wrap-distance-bottom:-3e-5mm;mso-position-horizontal-relative:text;mso-position-vertical-relative:text" from="44.4pt,14.4pt" to="485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" strokeweight="3pt"/>
              </w:pict>
            </w:r>
          </w:p>
        </w:tc>
      </w:tr>
      <w:tr w:rsidR="005B7BD9" w:rsidRPr="00C15C66" w:rsidTr="00F00A48">
        <w:trPr>
          <w:cantSplit/>
        </w:trPr>
        <w:tc>
          <w:tcPr>
            <w:tcW w:w="11340" w:type="dxa"/>
          </w:tcPr>
          <w:p w:rsidR="005B7BD9" w:rsidRPr="00C15C66" w:rsidRDefault="005B7BD9">
            <w:pPr>
              <w:ind w:left="-108"/>
              <w:rPr>
                <w:sz w:val="22"/>
                <w:szCs w:val="22"/>
              </w:rPr>
            </w:pPr>
          </w:p>
        </w:tc>
      </w:tr>
    </w:tbl>
    <w:p w:rsidR="005B7BD9" w:rsidRPr="00C15C66" w:rsidRDefault="005B7BD9" w:rsidP="00F00A48">
      <w:pPr>
        <w:jc w:val="center"/>
        <w:rPr>
          <w:b/>
          <w:sz w:val="22"/>
          <w:szCs w:val="22"/>
        </w:rPr>
      </w:pPr>
      <w:r w:rsidRPr="00C15C66">
        <w:rPr>
          <w:b/>
          <w:sz w:val="22"/>
          <w:szCs w:val="22"/>
        </w:rPr>
        <w:t>Заключение   №  17-э</w:t>
      </w:r>
    </w:p>
    <w:p w:rsidR="005B7BD9" w:rsidRPr="00C15C66" w:rsidRDefault="005B7BD9" w:rsidP="008C16A5">
      <w:pPr>
        <w:jc w:val="center"/>
        <w:rPr>
          <w:b/>
          <w:sz w:val="22"/>
          <w:szCs w:val="22"/>
        </w:rPr>
      </w:pPr>
      <w:r w:rsidRPr="00C15C66">
        <w:rPr>
          <w:b/>
          <w:sz w:val="22"/>
          <w:szCs w:val="22"/>
        </w:rPr>
        <w:t>по результатам  экспертизы  проекта решения Думы городского округа «О бюджете муниципального образования – «город Тулун» на 2014 год и на плановый период 2015 и 2016 годов»</w:t>
      </w:r>
    </w:p>
    <w:p w:rsidR="005B7BD9" w:rsidRPr="00C15C66" w:rsidRDefault="005B7BD9" w:rsidP="008C16A5">
      <w:pPr>
        <w:rPr>
          <w:b/>
          <w:sz w:val="16"/>
          <w:szCs w:val="16"/>
        </w:rPr>
      </w:pPr>
    </w:p>
    <w:p w:rsidR="005B7BD9" w:rsidRPr="00C15C66" w:rsidRDefault="005B7BD9" w:rsidP="00C15C66">
      <w:pPr>
        <w:rPr>
          <w:sz w:val="22"/>
          <w:szCs w:val="22"/>
        </w:rPr>
      </w:pPr>
      <w:r w:rsidRPr="00C15C66">
        <w:rPr>
          <w:sz w:val="22"/>
          <w:szCs w:val="22"/>
        </w:rPr>
        <w:t xml:space="preserve">г. Тулун                                                                                   </w:t>
      </w:r>
      <w:r w:rsidRPr="00C15C66">
        <w:rPr>
          <w:sz w:val="22"/>
          <w:szCs w:val="22"/>
        </w:rPr>
        <w:tab/>
      </w:r>
      <w:r w:rsidRPr="00C15C6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5C66">
        <w:rPr>
          <w:sz w:val="22"/>
          <w:szCs w:val="22"/>
        </w:rPr>
        <w:t xml:space="preserve">06  декабря  2013 года       </w:t>
      </w:r>
    </w:p>
    <w:p w:rsidR="005B7BD9" w:rsidRPr="00C15C66" w:rsidRDefault="005B7BD9" w:rsidP="008C16A5">
      <w:pPr>
        <w:jc w:val="both"/>
        <w:rPr>
          <w:sz w:val="16"/>
          <w:szCs w:val="16"/>
        </w:rPr>
      </w:pPr>
    </w:p>
    <w:p w:rsidR="005B7BD9" w:rsidRPr="00C15C66" w:rsidRDefault="005B7BD9" w:rsidP="00C15C66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Заключение по результатам экспертизы  проекта решения Думы городского округа «О бюджете муниципального образования – «город Тулун» на 2014 год и на плановый период 2015 и 2016 годов» подготовлено Контрольно-счётной палатой муниципального образования – «город Тулун» в соответствии со статьей 157 Бюджетного кодекса РФ, планом работы КСП на 4 квартал 2013 года и поручением  Думы городского округа от 18.11.2013г № 372.  </w:t>
      </w:r>
    </w:p>
    <w:p w:rsidR="005B7BD9" w:rsidRPr="00C15C66" w:rsidRDefault="005B7BD9" w:rsidP="008C16A5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>Целями  проведения экспертизы проекта  решения Думы городского округа «О бюджете муниципального образования - «город Тулун» на 2014 год и на плановый период 2015 и 2016 годов» является определение  соблюдения  бюджетного и иного законодательства  исполнительным органом местного самоуправления при разработке и принятии  местного бюджета на  очередной финансовый год и плановый период 2015-2016гг,  анализ объективности и   достоверности  планируемых доходов и расходов бюджета.</w:t>
      </w:r>
    </w:p>
    <w:p w:rsidR="005B7BD9" w:rsidRPr="00C15C66" w:rsidRDefault="005B7BD9" w:rsidP="008C16A5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ab/>
        <w:t>Заключение на проект решения Думы городского округа «О бюджете муниципального образования - «город Тулун» на 2014 год и на плановый период 2015 и 2015 годов» (далее – Заключение) подготовлено в соответствии с Бюджетным кодексом Российской Федерации,  Положением о бюджетном процессе в муниципальном образовании - «город Тулун», Положением о Контрольно-счетной палате городского округа  муниципального образования - «город Тулун»,  иными актами действующего законодательства.</w:t>
      </w:r>
    </w:p>
    <w:p w:rsidR="005B7BD9" w:rsidRDefault="005B7BD9" w:rsidP="008C16A5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            При составлении Заключения проанализировано наличие и оценено состояние нормативной   и методической базы, регулирующей порядок формирования бюджета муниципального образования – «город Тулун», параметров его основных показателей.</w:t>
      </w:r>
    </w:p>
    <w:p w:rsidR="005B7BD9" w:rsidRPr="00C15C66" w:rsidRDefault="005B7BD9" w:rsidP="008C16A5">
      <w:pPr>
        <w:jc w:val="both"/>
        <w:rPr>
          <w:sz w:val="16"/>
          <w:szCs w:val="16"/>
        </w:rPr>
      </w:pPr>
    </w:p>
    <w:p w:rsidR="005B7BD9" w:rsidRPr="00C15C66" w:rsidRDefault="005B7BD9" w:rsidP="00F00A48">
      <w:pPr>
        <w:pStyle w:val="ListParagraph"/>
        <w:numPr>
          <w:ilvl w:val="0"/>
          <w:numId w:val="1"/>
        </w:numPr>
        <w:ind w:left="0"/>
        <w:jc w:val="center"/>
        <w:rPr>
          <w:b/>
          <w:sz w:val="22"/>
          <w:szCs w:val="22"/>
        </w:rPr>
      </w:pPr>
      <w:r w:rsidRPr="00C15C66">
        <w:rPr>
          <w:b/>
          <w:sz w:val="22"/>
          <w:szCs w:val="22"/>
        </w:rPr>
        <w:t>Анализ соответствия  проекта местного бюджета   требованиям бюджетного законодательства</w:t>
      </w:r>
    </w:p>
    <w:p w:rsidR="005B7BD9" w:rsidRPr="00C15C66" w:rsidRDefault="005B7BD9" w:rsidP="008C16A5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ab/>
        <w:t>Проект решения Думы городского округа «О бюджете муниципального образования - «город Тулун» на 2014 год и на плановый период 2015 и 2016 годов» (далее - проект) представлен в Думу городского округа 15.11.2013года, т.е.  в сроки, установленные статьей 185 Бюджетного кодекса РФ и  п.1.1части 4 Положения о бюджетном процессе в муниципальном образовании - «город Тулун».</w:t>
      </w:r>
      <w:r w:rsidRPr="00C15C66">
        <w:rPr>
          <w:sz w:val="22"/>
          <w:szCs w:val="22"/>
        </w:rPr>
        <w:tab/>
      </w:r>
    </w:p>
    <w:p w:rsidR="005B7BD9" w:rsidRPr="00C15C66" w:rsidRDefault="005B7BD9" w:rsidP="008C16A5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>Перечень  и содержание документов и материалов, которые должны предоставляться  одновременно с проектом бюджета в представительный орган  в соответствии с  требованиями статьи 184² Бюджетного Кодекса РФ, подготовлены и представлены администрацией городского округа.  К проекту бюджета представлен исчерпывающий перечень   документов.</w:t>
      </w:r>
    </w:p>
    <w:p w:rsidR="005B7BD9" w:rsidRPr="00C15C66" w:rsidRDefault="005B7BD9" w:rsidP="008C16A5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ab/>
        <w:t>Постановлением администрации городского округа  от 30.09.2013г № 1832 «Об утверждении основных направлений бюджетной и налоговой политики муниципального образования – «город Тулун» на 2014 год и плановый период 2015 и 2016 годов» определены  основные  цели  бюджетной и налоговой  политики на 2014 год и плановый период на территории городского округа, одной из главных  является    обеспечение сбалансированности   бюджета в среднесрочной и долгосрочной  перспективе,   внедрение программно-целевых  методов с обязательным проведением оценки эффективности реализации программ, финансируемых за счет местного бюджета, а также реализация мер, направленных на повышение собираемости налогов, зачисляемых в местный бюджет,  создание благоприятных условий для инвестиционной  и инновационной деятельности, поддержка и развитие субъектов  малого и среднего предпринимательства.</w:t>
      </w:r>
    </w:p>
    <w:p w:rsidR="005B7BD9" w:rsidRPr="00C15C66" w:rsidRDefault="005B7BD9" w:rsidP="008C16A5">
      <w:pPr>
        <w:jc w:val="center"/>
        <w:rPr>
          <w:b/>
          <w:sz w:val="16"/>
          <w:szCs w:val="16"/>
        </w:rPr>
      </w:pPr>
    </w:p>
    <w:p w:rsidR="005B7BD9" w:rsidRPr="00C15C66" w:rsidRDefault="005B7BD9" w:rsidP="00F00A48">
      <w:pPr>
        <w:jc w:val="center"/>
        <w:rPr>
          <w:sz w:val="22"/>
          <w:szCs w:val="22"/>
        </w:rPr>
      </w:pPr>
      <w:r w:rsidRPr="00C15C66">
        <w:rPr>
          <w:b/>
          <w:sz w:val="22"/>
          <w:szCs w:val="22"/>
        </w:rPr>
        <w:t>2.  Характеристика основных параметров местного бюджета</w:t>
      </w:r>
    </w:p>
    <w:p w:rsidR="005B7BD9" w:rsidRPr="00C15C66" w:rsidRDefault="005B7BD9" w:rsidP="008C16A5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>Проектом  решения о бюджете на 2014 год и на плановый период  установлены основные характеристики  бюджета в соответствии с нормами статьи 184¹ БК РФ: общий объем доходов бюджета на 2014 год  составит702,3  млн. руб.,на 2015 год – 732,3 млн. руб., на 2016год  - 775,0 млн. рублей.</w:t>
      </w:r>
    </w:p>
    <w:p w:rsidR="005B7BD9" w:rsidRPr="00C15C66" w:rsidRDefault="005B7BD9" w:rsidP="008C16A5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  Общий объем расходовна 2014 год составит 729,2 млн. руб., соответственно на 2015 год- 760,3 млн. руб., на 2016 год – 804,8 млн. рублей.</w:t>
      </w:r>
    </w:p>
    <w:p w:rsidR="005B7BD9" w:rsidRPr="00C15C66" w:rsidRDefault="005B7BD9" w:rsidP="008C16A5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  Местный бюджет  на 2014 год и плановый период (2015-2016гг) сформирован с превышением  расходов над доходами: в 2014 году  в размере 26,9 млн.руб.  или 9,9%  от утвержденного общего  годового объема доходов местного бюджета  без учета утвержденного объема безвозмездных поступлений,  в 2015 году – в размере 27,9 млн.руб. или  9,97%, в 2016 году – в размере 29,8  млн. руб. или 9,9%.</w:t>
      </w:r>
    </w:p>
    <w:p w:rsidR="005B7BD9" w:rsidRPr="00C15C66" w:rsidRDefault="005B7BD9" w:rsidP="008C16A5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>Решением о бюджете установлены:</w:t>
      </w:r>
    </w:p>
    <w:p w:rsidR="005B7BD9" w:rsidRPr="00C15C66" w:rsidRDefault="005B7BD9" w:rsidP="008C16A5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>- перечень главных администраторов доходов бюджета;</w:t>
      </w:r>
    </w:p>
    <w:p w:rsidR="005B7BD9" w:rsidRPr="00C15C66" w:rsidRDefault="005B7BD9" w:rsidP="008C16A5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>- перечень главных администраторов источников финансирования дефицита бюджета;</w:t>
      </w:r>
    </w:p>
    <w:p w:rsidR="005B7BD9" w:rsidRPr="00C15C66" w:rsidRDefault="005B7BD9" w:rsidP="008C16A5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>- распределение бюджетных ассигнований по разделам, подразделам, целевым статьям и видам расходов;</w:t>
      </w:r>
    </w:p>
    <w:p w:rsidR="005B7BD9" w:rsidRPr="00C15C66" w:rsidRDefault="005B7BD9" w:rsidP="008C16A5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>- источники финансирования дефицита бюджета;</w:t>
      </w:r>
    </w:p>
    <w:p w:rsidR="005B7BD9" w:rsidRPr="00C15C66" w:rsidRDefault="005B7BD9" w:rsidP="008C16A5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>- верхний предел муниципального внутреннего долга по состоянию на 1 января 2015, 2016, 2017  года.</w:t>
      </w:r>
    </w:p>
    <w:p w:rsidR="005B7BD9" w:rsidRPr="00C15C66" w:rsidRDefault="005B7BD9" w:rsidP="00C5776B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 В текстовой части решения пункт 2 отражен дважды, тем самым нарушена цифровая последовательность пунктов решения.</w:t>
      </w:r>
    </w:p>
    <w:p w:rsidR="005B7BD9" w:rsidRPr="00C15C66" w:rsidRDefault="005B7BD9" w:rsidP="00127BA5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Пунктом 9 проекта решения предлагается утвердить объем бюджетных ассигнований, направляемых на исполнение публичных нормативных  обязательств, на 2014 год  в объеме 2566,6 тыс. руб., соответственно на 2015 год – 3118,6 тыс. руб., на 2016 год – 3334,9 тыс.руб., </w:t>
      </w:r>
      <w:bookmarkStart w:id="0" w:name="_GoBack"/>
      <w:bookmarkEnd w:id="0"/>
      <w:r w:rsidRPr="00C15C66">
        <w:rPr>
          <w:sz w:val="22"/>
          <w:szCs w:val="22"/>
        </w:rPr>
        <w:t xml:space="preserve"> при этом  к проекту решения не приложено приложение с  перечнем таких обязательств, что противоречит   статье 6 БК РФ и нарушает принцип прозрачности бюджетных расходов, предусмотренный статьей 36 БК РФ.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>Кроме того, объем бюджетных ассигнований в размере 2566,6 тыс.руб. не соответствует действительному объему публичных обязательств по следующим основаниям: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>согласно положениям ст.6 БК РФ   публичными нормативными обязательствами являются  обусловленные законом,  иным нормативным правовым актом расходные обязательства публично – правового образования  перед физическим лицом (</w:t>
      </w:r>
      <w:r w:rsidRPr="00C15C66">
        <w:rPr>
          <w:sz w:val="22"/>
          <w:szCs w:val="22"/>
          <w:u w:val="single"/>
        </w:rPr>
        <w:t>за исключением  государственных (муниципальных) служащих и лиц  иных категорий),</w:t>
      </w:r>
      <w:r w:rsidRPr="00C15C66">
        <w:rPr>
          <w:sz w:val="22"/>
          <w:szCs w:val="22"/>
        </w:rPr>
        <w:t xml:space="preserve">  подлежащие исполнению в денежной форме в установленной соответствующим  законом, иным  нормативным правовым актом  размере или имеющие установленный порядок индексации;  таким образом, в перечень публичных нормативных обязательств </w:t>
      </w:r>
      <w:r w:rsidRPr="00C15C66">
        <w:rPr>
          <w:sz w:val="22"/>
          <w:szCs w:val="22"/>
          <w:u w:val="single"/>
        </w:rPr>
        <w:t>излишне включено публичное нормативное обязательство в виде доплаты к пенсиям государственных служащих субъектов РФ и муниципальных служащих на 2014 год в сумме 1774,6 тыс. руб.,</w:t>
      </w:r>
      <w:r w:rsidRPr="00C15C66">
        <w:rPr>
          <w:sz w:val="22"/>
          <w:szCs w:val="22"/>
        </w:rPr>
        <w:t xml:space="preserve"> на 2015 год в сумме 2001,6 тыс. руб., на 2016 год в сумме  2191,5 тыс. рублей.  </w:t>
      </w:r>
    </w:p>
    <w:p w:rsidR="005B7BD9" w:rsidRPr="00C15C66" w:rsidRDefault="005B7BD9" w:rsidP="00514653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>В тоже время в бюджете не отражены  публичные нормативные  обязательства, установленные решением Думы города: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 1)  в виде  предоставления социальной выплаты врачам на погашение процентной ставки по кредиту (займу) на приобретение жилого помещения;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 2)  в виде компенсации  врачам стоимости  аренды жилого помещения.</w:t>
      </w:r>
    </w:p>
    <w:p w:rsidR="005B7BD9" w:rsidRDefault="005B7BD9" w:rsidP="00C15C66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          Проект решения Думы городского округа «Об утверждении Прогнозного плана (программы) приватизации муниципального имущества муниципального образования – «город Тулун» на 2014 год»  принят депутатами на ноябрьском заседании Думы города. В нарушение Устава муниципального образования, Положения о бюджетном  процессе в муниципальном образовании город Тулун,  постановления администрации городского округа «Об одобрении  прогноза социально – экономического  развития муниципального образования – город Тулун на 2014-2016  годы  - умеренно-оптимистичный вариант», прогноз поступления доходов от приватизации запланирован </w:t>
      </w:r>
      <w:r w:rsidRPr="00C15C66">
        <w:rPr>
          <w:sz w:val="22"/>
          <w:szCs w:val="22"/>
          <w:u w:val="single"/>
        </w:rPr>
        <w:t>только на 2014 год</w:t>
      </w:r>
      <w:r w:rsidRPr="00C15C66">
        <w:rPr>
          <w:sz w:val="22"/>
          <w:szCs w:val="22"/>
        </w:rPr>
        <w:t>.</w:t>
      </w:r>
    </w:p>
    <w:p w:rsidR="005B7BD9" w:rsidRPr="00C15C66" w:rsidRDefault="005B7BD9" w:rsidP="00C15C66">
      <w:pPr>
        <w:jc w:val="both"/>
        <w:rPr>
          <w:sz w:val="16"/>
          <w:szCs w:val="16"/>
        </w:rPr>
      </w:pPr>
    </w:p>
    <w:p w:rsidR="005B7BD9" w:rsidRPr="00C15C66" w:rsidRDefault="005B7BD9" w:rsidP="00C15C66">
      <w:pPr>
        <w:jc w:val="center"/>
        <w:rPr>
          <w:b/>
          <w:sz w:val="22"/>
          <w:szCs w:val="22"/>
        </w:rPr>
      </w:pPr>
      <w:r w:rsidRPr="00C15C66">
        <w:rPr>
          <w:b/>
          <w:sz w:val="22"/>
          <w:szCs w:val="22"/>
        </w:rPr>
        <w:t>3. Анализ доходной  части проекта местного бюджета на 2014 год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ab/>
        <w:t xml:space="preserve">В целом доходы местного бюджета на 2014  год прогнозируются в объеме 702,3 млн. рублей. 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>При этом объем налоговых и неналоговых доходов планируется в объеме 271,5 млн. руб., объем безвозмездных поступлений   составит  430,8 млн. руб., или 61 %  от доходной части бюджета.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ab/>
        <w:t>Необходимо отметить,  что при прогнозировании бюджетных доходов на очередной финансовый год объем отдельных видов доходов занижен, по отдельным видам завышен.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ab/>
        <w:t xml:space="preserve"> Так,  анализ основных показателей  налоговых и неналоговых доходов местного бюджета на 2014 год   показал следующее:</w:t>
      </w:r>
    </w:p>
    <w:p w:rsidR="005B7BD9" w:rsidRPr="00C15C66" w:rsidRDefault="005B7BD9" w:rsidP="00336493">
      <w:pPr>
        <w:ind w:firstLine="708"/>
        <w:jc w:val="both"/>
        <w:rPr>
          <w:sz w:val="22"/>
          <w:szCs w:val="22"/>
        </w:rPr>
      </w:pPr>
      <w:r w:rsidRPr="00C15C66">
        <w:rPr>
          <w:b/>
          <w:i/>
          <w:sz w:val="22"/>
          <w:szCs w:val="22"/>
        </w:rPr>
        <w:t>Налог на доходы физических лиц</w:t>
      </w:r>
      <w:r w:rsidRPr="00C15C66">
        <w:rPr>
          <w:sz w:val="22"/>
          <w:szCs w:val="22"/>
        </w:rPr>
        <w:t xml:space="preserve">:  сумма налога на 2014 год в объеме </w:t>
      </w:r>
      <w:r w:rsidRPr="00C15C66">
        <w:rPr>
          <w:b/>
          <w:sz w:val="22"/>
          <w:szCs w:val="22"/>
        </w:rPr>
        <w:t xml:space="preserve">120 000,0 </w:t>
      </w:r>
      <w:r w:rsidRPr="00C15C66">
        <w:rPr>
          <w:sz w:val="22"/>
          <w:szCs w:val="22"/>
        </w:rPr>
        <w:t>тыс. руб., определена, исходя из ожидаемого уровня поступлений 2013 года, скорректирована на темп роста ожидаемых поступлений по налогу в 2013 году к фактическим поступлениям  2012 года  или  113,7%.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ab/>
        <w:t xml:space="preserve">Применение указанногокоэффициента по мнению КСП в данном случае не корректно поскольку на поступление по данному виду налогов оказывают влияние темп роста  фонда оплаты труда и норматив отчисления по данному виду налогов.  Таким образом исходя из  среднего индекса роста заработной платы  (109,4%),   объем  поступлений составит  в сумме  112000,0 тыс. рублей.     По оценке КСП прогноз   составит </w:t>
      </w:r>
      <w:r w:rsidRPr="00C15C66">
        <w:rPr>
          <w:b/>
          <w:sz w:val="22"/>
          <w:szCs w:val="22"/>
        </w:rPr>
        <w:t>114000,0</w:t>
      </w:r>
      <w:r w:rsidRPr="00C15C66">
        <w:rPr>
          <w:sz w:val="22"/>
          <w:szCs w:val="22"/>
        </w:rPr>
        <w:t xml:space="preserve">тыс. руб.  с учетом реальной к взысканию недоимки в сумме  2000,0 тыс. рублей.  </w:t>
      </w:r>
    </w:p>
    <w:p w:rsidR="005B7BD9" w:rsidRPr="00C15C66" w:rsidRDefault="005B7BD9" w:rsidP="00336493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Считаем, что прогноз поступлений не соответствует  реальности, завышен  на </w:t>
      </w:r>
      <w:r w:rsidRPr="00C15C66">
        <w:rPr>
          <w:b/>
          <w:sz w:val="22"/>
          <w:szCs w:val="22"/>
        </w:rPr>
        <w:t xml:space="preserve"> 6000,0 </w:t>
      </w:r>
      <w:r w:rsidRPr="00C15C66">
        <w:rPr>
          <w:sz w:val="22"/>
          <w:szCs w:val="22"/>
        </w:rPr>
        <w:t>тыс. рублей.</w:t>
      </w:r>
    </w:p>
    <w:p w:rsidR="005B7BD9" w:rsidRPr="00C15C66" w:rsidRDefault="005B7BD9" w:rsidP="00336493">
      <w:pPr>
        <w:ind w:firstLine="708"/>
        <w:jc w:val="both"/>
        <w:rPr>
          <w:sz w:val="22"/>
          <w:szCs w:val="22"/>
        </w:rPr>
      </w:pPr>
      <w:r w:rsidRPr="00C15C66">
        <w:rPr>
          <w:b/>
          <w:i/>
          <w:sz w:val="22"/>
          <w:szCs w:val="22"/>
        </w:rPr>
        <w:t>Единый налог на вмененный доход:</w:t>
      </w:r>
      <w:r w:rsidRPr="00C15C66">
        <w:rPr>
          <w:sz w:val="22"/>
          <w:szCs w:val="22"/>
        </w:rPr>
        <w:t xml:space="preserve"> прогноз поступлений  на 2014 год определен администратором   в сумме 24285,0 тыс. рублей.   По мнению КСП  прогноз поступлений занижен  на </w:t>
      </w:r>
      <w:r w:rsidRPr="00C15C66">
        <w:rPr>
          <w:b/>
          <w:sz w:val="22"/>
          <w:szCs w:val="22"/>
        </w:rPr>
        <w:t xml:space="preserve">3305,0 </w:t>
      </w:r>
      <w:r w:rsidRPr="00C15C66">
        <w:rPr>
          <w:sz w:val="22"/>
          <w:szCs w:val="22"/>
        </w:rPr>
        <w:t xml:space="preserve">тыс.руб., и  может составить </w:t>
      </w:r>
      <w:r w:rsidRPr="00C15C66">
        <w:rPr>
          <w:b/>
          <w:sz w:val="22"/>
          <w:szCs w:val="22"/>
        </w:rPr>
        <w:t xml:space="preserve">27590,0 </w:t>
      </w:r>
      <w:r w:rsidRPr="00C15C66">
        <w:rPr>
          <w:sz w:val="22"/>
          <w:szCs w:val="22"/>
        </w:rPr>
        <w:t>тыс. руб.  поскольку  при расчете  применяется  сводный индекс потребительских цен на 2014 год по прогнозу социально-экономического развития РФ, скорректированный на темп роста, который  составляет 11,9% к ожидаемой оценке 2012 года(24656 х111,9%).</w:t>
      </w:r>
    </w:p>
    <w:p w:rsidR="005B7BD9" w:rsidRPr="00C15C66" w:rsidRDefault="005B7BD9" w:rsidP="00336493">
      <w:pPr>
        <w:ind w:firstLine="708"/>
        <w:jc w:val="both"/>
        <w:rPr>
          <w:sz w:val="22"/>
          <w:szCs w:val="22"/>
        </w:rPr>
      </w:pPr>
      <w:r w:rsidRPr="00C15C66">
        <w:rPr>
          <w:b/>
          <w:i/>
          <w:sz w:val="22"/>
          <w:szCs w:val="22"/>
        </w:rPr>
        <w:t>Налог на имущество физических лиц</w:t>
      </w:r>
      <w:r w:rsidRPr="00C15C66">
        <w:rPr>
          <w:sz w:val="22"/>
          <w:szCs w:val="22"/>
        </w:rPr>
        <w:t xml:space="preserve">  спрогнозирован с учетом проводимой переоценки имущества в объеме </w:t>
      </w:r>
      <w:r w:rsidRPr="00C15C66">
        <w:rPr>
          <w:b/>
          <w:sz w:val="22"/>
          <w:szCs w:val="22"/>
        </w:rPr>
        <w:t xml:space="preserve">7000,0 </w:t>
      </w:r>
      <w:r w:rsidRPr="00C15C66">
        <w:rPr>
          <w:sz w:val="22"/>
          <w:szCs w:val="22"/>
        </w:rPr>
        <w:t>тыс. рублей.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ab/>
        <w:t xml:space="preserve">По расчету КСП поступления по данному виду налога могут </w:t>
      </w:r>
      <w:r w:rsidRPr="00C15C66">
        <w:rPr>
          <w:b/>
          <w:sz w:val="22"/>
          <w:szCs w:val="22"/>
        </w:rPr>
        <w:t xml:space="preserve">составить  8145,0 </w:t>
      </w:r>
      <w:r w:rsidRPr="00C15C66">
        <w:rPr>
          <w:sz w:val="22"/>
          <w:szCs w:val="22"/>
        </w:rPr>
        <w:t xml:space="preserve">тыс. руб.  поскольку  ожидаемую оценку  2013 в объеме 7164,0 тыс. руб. необходимо скорректировать на темп  роста ожидаемых поступлений 2013 года к факту 2012 года,  который составляет  13,7%,  считаем, что объем поступлений занижен  на </w:t>
      </w:r>
      <w:r w:rsidRPr="00C15C66">
        <w:rPr>
          <w:b/>
          <w:sz w:val="22"/>
          <w:szCs w:val="22"/>
        </w:rPr>
        <w:t xml:space="preserve">1145,0 </w:t>
      </w:r>
      <w:r w:rsidRPr="00C15C66">
        <w:rPr>
          <w:sz w:val="22"/>
          <w:szCs w:val="22"/>
        </w:rPr>
        <w:t>тыс. рублей.</w:t>
      </w:r>
    </w:p>
    <w:p w:rsidR="005B7BD9" w:rsidRPr="00C15C66" w:rsidRDefault="005B7BD9" w:rsidP="00CB64D8">
      <w:pPr>
        <w:ind w:firstLine="708"/>
        <w:jc w:val="both"/>
        <w:rPr>
          <w:sz w:val="22"/>
          <w:szCs w:val="22"/>
        </w:rPr>
      </w:pPr>
      <w:r w:rsidRPr="00C15C66">
        <w:rPr>
          <w:b/>
          <w:i/>
          <w:sz w:val="22"/>
          <w:szCs w:val="22"/>
        </w:rPr>
        <w:t xml:space="preserve">Государственная пошлина </w:t>
      </w:r>
      <w:r w:rsidRPr="00C15C66">
        <w:rPr>
          <w:sz w:val="22"/>
          <w:szCs w:val="22"/>
        </w:rPr>
        <w:t xml:space="preserve"> прогнозируется поступление в объеме 5000,0 тыс. руб., по расчету КСП  объем госпошлины составит 6475,0 тыс. руб.,  ожидаемую  оценку необходимо  скорректировать на темп роста ожидаемых поступлений 2013 года к факту 2012 года, который  составляет 115,9%.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ab/>
      </w:r>
      <w:r w:rsidRPr="00C15C66">
        <w:rPr>
          <w:b/>
          <w:i/>
          <w:sz w:val="22"/>
          <w:szCs w:val="22"/>
        </w:rPr>
        <w:t>Арендная плата от  использования  муниципального имущества:</w:t>
      </w:r>
      <w:r w:rsidRPr="00C15C66">
        <w:rPr>
          <w:sz w:val="22"/>
          <w:szCs w:val="22"/>
        </w:rPr>
        <w:t xml:space="preserve">  объем поступлений в проекте бюджета предусмотрен  в размере  14413,0 тыс. руб., по расчету КСП прогноз должен быть скорректирован на уровень ожидаемой  инфляции в 2014 году – 5,3%,  таким образом,  прогноз поступления арендной платы  составит  15 176,0 тыс. рублей.</w:t>
      </w:r>
    </w:p>
    <w:p w:rsidR="005B7BD9" w:rsidRPr="00C15C66" w:rsidRDefault="005B7BD9" w:rsidP="000575F4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>При проведении процедуры экспертизы  Контрольно-счетной палатой установлено, что администрация не приняла индексацию ставок  арендной платы муниципального имущества,  прогноз доходов от аренды  муниципального имущества  занижен на</w:t>
      </w:r>
      <w:r w:rsidRPr="00C15C66">
        <w:rPr>
          <w:b/>
          <w:sz w:val="22"/>
          <w:szCs w:val="22"/>
        </w:rPr>
        <w:t xml:space="preserve"> 763,0 </w:t>
      </w:r>
      <w:r w:rsidRPr="00C15C66">
        <w:rPr>
          <w:sz w:val="22"/>
          <w:szCs w:val="22"/>
        </w:rPr>
        <w:t>тыс. рублей.</w:t>
      </w:r>
    </w:p>
    <w:p w:rsidR="005B7BD9" w:rsidRPr="00C15C66" w:rsidRDefault="005B7BD9" w:rsidP="000B4619">
      <w:pPr>
        <w:jc w:val="both"/>
        <w:rPr>
          <w:b/>
          <w:sz w:val="22"/>
          <w:szCs w:val="22"/>
        </w:rPr>
      </w:pPr>
      <w:r w:rsidRPr="00C15C66">
        <w:rPr>
          <w:sz w:val="22"/>
          <w:szCs w:val="22"/>
        </w:rPr>
        <w:tab/>
        <w:t>Кроме того, следует отметить, что   недоимка по платежам в местный бюджет от использования муниципального имущества  по состоянию на 01.12.2013г составляет 7300,0 тыс. руб. (в сравнении: на 01.12.2012г  составляла 5762,0 тыс. руб.), в том числе от  переданного в аренду имущества ОАО «Облжилкомхоз»  - 6278,0 тыс. рублей.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</w:rPr>
      </w:pPr>
      <w:r w:rsidRPr="00C15C66">
        <w:rPr>
          <w:b/>
          <w:i/>
          <w:sz w:val="22"/>
          <w:szCs w:val="22"/>
        </w:rPr>
        <w:t>Доходы от  реализации имущества, находящегося в оперативном управлении учреждений в ведении органов управления,</w:t>
      </w:r>
      <w:r w:rsidRPr="00C15C66">
        <w:rPr>
          <w:sz w:val="22"/>
          <w:szCs w:val="22"/>
        </w:rPr>
        <w:t>по прогнозу администрации городского округа составят 0 тыс. рублей, однако на основании решения Думы города прогнозный план приватизации на 2014 год утвержден в сумме  1415,0 тыс. руб., в связи с чем ожидаемые доходы занижены на</w:t>
      </w:r>
      <w:r w:rsidRPr="00C15C66">
        <w:rPr>
          <w:b/>
          <w:sz w:val="22"/>
          <w:szCs w:val="22"/>
        </w:rPr>
        <w:t xml:space="preserve"> 1415,0 </w:t>
      </w:r>
      <w:r w:rsidRPr="00C15C66">
        <w:rPr>
          <w:sz w:val="22"/>
          <w:szCs w:val="22"/>
        </w:rPr>
        <w:t xml:space="preserve">тыс. рублей. 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Кроме того,  в муниципальной казне числится  специализированный  служебный  муниципальный  жилой фонд  в количестве 28 объектов  общей площадью 1123,3 кв. м. 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>В нарушение ст. 100 Жилищного кодекса РФ  плата за найм служебных помещений администратором доходов  не начисляется и не   взимается. Плата за найм не установлена, потери бюджета  составят  48,0 тыс. руб. (при условии установления платы за наймв размере 3,58 руб. за 1 кв.м.).</w:t>
      </w:r>
    </w:p>
    <w:p w:rsidR="005B7BD9" w:rsidRPr="00C15C66" w:rsidRDefault="005B7BD9" w:rsidP="007A20AE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На основании вышеизложенного необходимо отметить, что объем  прогнозирования собственных  доходов на очередной финансовый год близок к реальному исполнению, однако  объем отдельных видов доходов занижен  на сумму 8103,0 тыс. руб.,   в тоже время прогноз поступления налога на доходы физических лиц  завышен на 6000,0 тыс. рублей.  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ab/>
      </w:r>
      <w:r w:rsidRPr="00C15C66">
        <w:rPr>
          <w:sz w:val="22"/>
          <w:szCs w:val="22"/>
          <w:lang w:eastAsia="en-US"/>
        </w:rPr>
        <w:t xml:space="preserve">Согласно представленному  администрацией города проекту местного бюджета на 2014 год и на плановый период 2015 и 2016 годов </w:t>
      </w:r>
      <w:r w:rsidRPr="00C15C66">
        <w:rPr>
          <w:b/>
          <w:sz w:val="22"/>
          <w:szCs w:val="22"/>
          <w:lang w:eastAsia="en-US"/>
        </w:rPr>
        <w:t>объем безвозмездных поступлений</w:t>
      </w:r>
      <w:r w:rsidRPr="00C15C66">
        <w:rPr>
          <w:sz w:val="22"/>
          <w:szCs w:val="22"/>
          <w:lang w:eastAsia="en-US"/>
        </w:rPr>
        <w:t xml:space="preserve">  из областного бюджета  на 2014 год определен  в размере 430797,2 тыс.рублей. Данная сумма не соответствует проекту закона Иркутской области «Об областном бюджете на 2014 год и на плановый период 2015 и 2016 годов», принятому во втором чтении на сессии Законодательного собрания Иркутской области 27.11.2013 года.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Объем межбюджетных трансфертов, предоставляемых муниципальному образованию – «город Тулун» на 2014 год (2015—2016гг),  увеличен  на реализацию  передаваемых полномочий в сфере обращения с  безнадзорными собаками и кошками в сумме 805,0 тыс.рублей.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 Всего объем межбюджетных трансфертов, передаваемых МО «город Тулун», согласно проекту Закона Иркутской области об областном бюджете, принятом во втором чтении, составит  на 2014 год  </w:t>
      </w:r>
      <w:r w:rsidRPr="00C15C66">
        <w:rPr>
          <w:b/>
          <w:sz w:val="22"/>
          <w:szCs w:val="22"/>
          <w:lang w:eastAsia="en-US"/>
        </w:rPr>
        <w:t>431602,2 тыс.руб.,</w:t>
      </w:r>
      <w:r w:rsidRPr="00C15C66">
        <w:rPr>
          <w:sz w:val="22"/>
          <w:szCs w:val="22"/>
          <w:lang w:eastAsia="en-US"/>
        </w:rPr>
        <w:t xml:space="preserve"> из них: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- дотация на выравнивание уровня бюджетной обеспеченности 3101,5 тыс.руб.;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- субсидии на реализацию  государственных программ Иркутской области 33948 тыс.руб. (в т.ч. на реализацию  ГП ИО «Развитие физической культуры и спорта» на 2014-2018 годы - 30000,0 тыс.руб. на строительство бассейна; на реализацию ГП ИО «Доступное жилье» на 2014-2020 годы – 3816,4 тыс.руб. на переселение граждан из ветхого и аварийного жилищного фонда; на реализацию ГП ИО «Развитие здравоохранения» на 2014-2020 годы – 131,6 тыс.руб. на совершенствование оказания специализированной медицинской помощи, скорой специализированной медицинской помощи, медицинской эвакуации);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- субвенции  на осуществление отдельных областных государственных полномочий 38743,3 тыс.руб. (в т.ч. на предоставление гражданам субсидий на оплату жилого помещения и коммунальных услуг 28473,5 тыс.руб.);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- субвенции на обеспечение государственных  гарантий на получение общего  образования 205326,7 тыс.руб.;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- субвенции на обеспечение государственных гарантий  на получение дошкольного образования 141216,3 тыс.руб.;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- иные межбюджетные трансферты  на исполнение судебных актов по обеспечению жилыми помещениями  детей-сирот и детей, оставшихся без попечения родителей, 9266,4 тыс.рублей.</w:t>
      </w:r>
    </w:p>
    <w:p w:rsidR="005B7BD9" w:rsidRPr="00C15C66" w:rsidRDefault="005B7BD9" w:rsidP="000B4619">
      <w:pPr>
        <w:ind w:firstLine="709"/>
        <w:jc w:val="both"/>
        <w:rPr>
          <w:b/>
          <w:sz w:val="22"/>
          <w:szCs w:val="22"/>
          <w:lang w:eastAsia="en-US"/>
        </w:rPr>
      </w:pPr>
      <w:r w:rsidRPr="00C15C66">
        <w:rPr>
          <w:b/>
          <w:sz w:val="22"/>
          <w:szCs w:val="22"/>
        </w:rPr>
        <w:t>Контрольно-счетная  палата   предполагает возможность утверждения  прогнозных показателей по собственным   доходным  источникам  на 2014 год в  сумме  273651,0 тыс. руб., т.е. увеличить на  2151 тыс. руб., объем  безвозмездным поступлениям составит  431602,0 тыс. руб. (+805,0 тыс.руб.),  всего объем доходов бюджета может составить   705253,2  тыс.руб.(+2956,0тыс.руб.).</w:t>
      </w:r>
    </w:p>
    <w:p w:rsidR="005B7BD9" w:rsidRPr="00C15C66" w:rsidRDefault="005B7BD9" w:rsidP="000B4619">
      <w:pPr>
        <w:jc w:val="both"/>
        <w:rPr>
          <w:b/>
          <w:sz w:val="16"/>
          <w:szCs w:val="16"/>
        </w:rPr>
      </w:pPr>
    </w:p>
    <w:p w:rsidR="005B7BD9" w:rsidRPr="00C15C66" w:rsidRDefault="005B7BD9" w:rsidP="00F00A48">
      <w:pPr>
        <w:jc w:val="center"/>
        <w:rPr>
          <w:b/>
          <w:sz w:val="22"/>
          <w:szCs w:val="22"/>
        </w:rPr>
      </w:pPr>
      <w:r w:rsidRPr="00C15C66">
        <w:rPr>
          <w:b/>
          <w:sz w:val="22"/>
          <w:szCs w:val="22"/>
        </w:rPr>
        <w:t>4. Анализ расходной части  местного бюджета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ab/>
        <w:t xml:space="preserve">Формирование расходов бюджета муниципального образования  на 2014 год и плановый период 2015 и 2016 годы  произведено на основе программного принципа, а также   бюджетных проектировок  главных распорядителей бюджетных средств,  подготовленных в соответствии с порядком и методикой  планирования бюджетных ассигнований  местного бюджета. 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ab/>
        <w:t xml:space="preserve">Расходы бюджета на 2014 год прогнозируются в объеме  </w:t>
      </w:r>
      <w:r w:rsidRPr="00C15C66">
        <w:rPr>
          <w:b/>
          <w:sz w:val="22"/>
          <w:szCs w:val="22"/>
        </w:rPr>
        <w:t xml:space="preserve">729,2  </w:t>
      </w:r>
      <w:r w:rsidRPr="00C15C66">
        <w:rPr>
          <w:sz w:val="22"/>
          <w:szCs w:val="22"/>
        </w:rPr>
        <w:t>млн. руб., объем расходов на плановый период планируется утвердить на 2015 год в сумме 760,3 млн. руб.,на 2016 год в сумме 804,8  млн. рублей.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ab/>
        <w:t xml:space="preserve"> Анализ распределения  бюджетных ассигнований в ведомственной структуре расходов местного бюджета  (приложение № 9) показал следующее:в соответствии с ведомственной структурой расходов местного бюджета на 2014 год главными распорядителями средств местного бюджета  определены: 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>- Муниципальное учреждение«Администрация городского округа»,  объем выделяемых средств составляет 720,7 млн. руб. или 98,8% от общего объема бюджета;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>- Муниципальное учреждение «Дума города Тулуна», объем выделяемых средств 8,5 млн. руб. или   1,2% от общего объема бюджета.</w:t>
      </w:r>
    </w:p>
    <w:p w:rsidR="005B7BD9" w:rsidRPr="00C15C66" w:rsidRDefault="005B7BD9" w:rsidP="000B4619">
      <w:pPr>
        <w:jc w:val="both"/>
        <w:rPr>
          <w:b/>
          <w:sz w:val="22"/>
          <w:szCs w:val="22"/>
        </w:rPr>
      </w:pPr>
      <w:r w:rsidRPr="00C15C66">
        <w:rPr>
          <w:b/>
          <w:i/>
          <w:sz w:val="22"/>
          <w:szCs w:val="22"/>
        </w:rPr>
        <w:tab/>
      </w:r>
      <w:r w:rsidRPr="00C15C66">
        <w:rPr>
          <w:b/>
          <w:sz w:val="22"/>
          <w:szCs w:val="22"/>
        </w:rPr>
        <w:t>Главные распорядители бюджетных средств в ведомственной структуре  определены в нарушение статей 6, 38.1,158  БК РФ, поскольку не имеют ведомственной подчиненности.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ab/>
        <w:t>Бюджетные заявки главных распорядителей бюджетных средств на 2014 год включены в проект местного бюджета не в полном объеме, что связано, прежде всего, с неправильным подходом к планированию  бюджета города.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Структура  расходов местного бюджета на 2014 год и на плановый период  (2015-2016гг) представлена  программными мероприятиями и непрограммными направлениями деятельности. При этом доля программных  расходов в общем объеме расходов местного бюджета составляет 89,8% или  644,6 млн. руб., непрограммные расходы составляют 10,2% или  84,6 млн.рублей.  </w:t>
      </w:r>
    </w:p>
    <w:p w:rsidR="005B7BD9" w:rsidRPr="00C15C66" w:rsidRDefault="005B7BD9" w:rsidP="00C15C66">
      <w:pPr>
        <w:tabs>
          <w:tab w:val="left" w:pos="4005"/>
        </w:tabs>
        <w:jc w:val="both"/>
        <w:rPr>
          <w:sz w:val="16"/>
          <w:szCs w:val="16"/>
        </w:rPr>
      </w:pPr>
      <w:r>
        <w:rPr>
          <w:sz w:val="22"/>
          <w:szCs w:val="22"/>
        </w:rPr>
        <w:tab/>
      </w:r>
    </w:p>
    <w:p w:rsidR="005B7BD9" w:rsidRPr="00C15C66" w:rsidRDefault="005B7BD9" w:rsidP="00F00A48">
      <w:pPr>
        <w:jc w:val="center"/>
        <w:rPr>
          <w:b/>
          <w:sz w:val="22"/>
          <w:szCs w:val="22"/>
        </w:rPr>
      </w:pPr>
      <w:r w:rsidRPr="00C15C66">
        <w:rPr>
          <w:b/>
          <w:sz w:val="22"/>
          <w:szCs w:val="22"/>
        </w:rPr>
        <w:t>4.1   Анализ программной структуры расходов местного бюджета</w:t>
      </w:r>
    </w:p>
    <w:p w:rsidR="005B7BD9" w:rsidRPr="00C15C66" w:rsidRDefault="005B7BD9" w:rsidP="000B4619">
      <w:pPr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ab/>
        <w:t>В бюджет МО «город Тулун» на 2014 год и плановый период (2015-2016гг) включены расходы на реализацию 15-ти  муниципальных программ, утвержденных постановлениями администрации городского округа от 30.10.2013г, 31.10.2013г, 01.11.2013 года, вступающих в силу с 01 января 2014 года.  Данные постановления администрации городского округа об утверждении муниципальных программ города Тулуна  являются муниципальными правовыми актами.</w:t>
      </w:r>
    </w:p>
    <w:p w:rsidR="005B7BD9" w:rsidRPr="00C15C66" w:rsidRDefault="005B7BD9" w:rsidP="000B4619">
      <w:pPr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ab/>
        <w:t xml:space="preserve">Статьей 46 Устава муниципального образования – «город Тулун» установлено, что опубликование (обнародование) муниципальных правовых актов осуществляется  в печатном средстве  массовой информации, учреждаемом органами местного самоуправления города Тулуна (примечание: официальным печатным изданием в МО «город Тулун» является газета «Тулунский вестник»); муниципальные правовые акты города Тулуна опубликовываются   в течение месяца с момента их подписания. 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b/>
          <w:sz w:val="22"/>
          <w:szCs w:val="22"/>
          <w:lang w:eastAsia="en-US"/>
        </w:rPr>
        <w:t>В нарушение статьи 46 Устава</w:t>
      </w:r>
      <w:r w:rsidRPr="00C15C66">
        <w:rPr>
          <w:sz w:val="22"/>
          <w:szCs w:val="22"/>
          <w:lang w:eastAsia="en-US"/>
        </w:rPr>
        <w:t xml:space="preserve"> муниципального образования – «город Тулун» администрацией города на момент подготовки настоящего заключения </w:t>
      </w:r>
      <w:r w:rsidRPr="00C15C66">
        <w:rPr>
          <w:b/>
          <w:sz w:val="22"/>
          <w:szCs w:val="22"/>
          <w:lang w:eastAsia="en-US"/>
        </w:rPr>
        <w:t>не опубликованы  в газете «Тулунский вестник» следующие  муниципальные программы: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«</w:t>
      </w:r>
      <w:r w:rsidRPr="00C15C66">
        <w:rPr>
          <w:b/>
          <w:sz w:val="22"/>
          <w:szCs w:val="22"/>
          <w:lang w:eastAsia="en-US"/>
        </w:rPr>
        <w:t>Охрана здоровья населения</w:t>
      </w:r>
      <w:r w:rsidRPr="00C15C66">
        <w:rPr>
          <w:sz w:val="22"/>
          <w:szCs w:val="22"/>
          <w:lang w:eastAsia="en-US"/>
        </w:rPr>
        <w:t>» (утверждена постановлением администрации от 30.10.2013г № 1961), «</w:t>
      </w:r>
      <w:r w:rsidRPr="00C15C66">
        <w:rPr>
          <w:b/>
          <w:sz w:val="22"/>
          <w:szCs w:val="22"/>
          <w:lang w:eastAsia="en-US"/>
        </w:rPr>
        <w:t>Молодежь</w:t>
      </w:r>
      <w:r w:rsidRPr="00C15C66">
        <w:rPr>
          <w:sz w:val="22"/>
          <w:szCs w:val="22"/>
          <w:lang w:eastAsia="en-US"/>
        </w:rPr>
        <w:t>» (утверждена постановлением администрации от 30.10.2013г № 1963), «</w:t>
      </w:r>
      <w:r w:rsidRPr="00C15C66">
        <w:rPr>
          <w:b/>
          <w:sz w:val="22"/>
          <w:szCs w:val="22"/>
          <w:lang w:eastAsia="en-US"/>
        </w:rPr>
        <w:t>Физическая культура и спорт</w:t>
      </w:r>
      <w:r w:rsidRPr="00C15C66">
        <w:rPr>
          <w:sz w:val="22"/>
          <w:szCs w:val="22"/>
          <w:lang w:eastAsia="en-US"/>
        </w:rPr>
        <w:t>» (утверждена постановлением администрации от 31.10.2013г № 1975), «</w:t>
      </w:r>
      <w:r w:rsidRPr="00C15C66">
        <w:rPr>
          <w:b/>
          <w:sz w:val="22"/>
          <w:szCs w:val="22"/>
          <w:lang w:eastAsia="en-US"/>
        </w:rPr>
        <w:t>Транспортное обслуживание населения</w:t>
      </w:r>
      <w:r w:rsidRPr="00C15C66">
        <w:rPr>
          <w:sz w:val="22"/>
          <w:szCs w:val="22"/>
          <w:lang w:eastAsia="en-US"/>
        </w:rPr>
        <w:t>» (утверждена постановлением администрации от 31.10.2013г № 1976), «</w:t>
      </w:r>
      <w:r w:rsidRPr="00C15C66">
        <w:rPr>
          <w:b/>
          <w:sz w:val="22"/>
          <w:szCs w:val="22"/>
          <w:lang w:eastAsia="en-US"/>
        </w:rPr>
        <w:t>Охрана окружающей среды</w:t>
      </w:r>
      <w:r w:rsidRPr="00C15C66">
        <w:rPr>
          <w:sz w:val="22"/>
          <w:szCs w:val="22"/>
          <w:lang w:eastAsia="en-US"/>
        </w:rPr>
        <w:t>» (утверждена постановлением администрации от 01.11.2013г № 1987), «</w:t>
      </w:r>
      <w:r w:rsidRPr="00C15C66">
        <w:rPr>
          <w:b/>
          <w:sz w:val="22"/>
          <w:szCs w:val="22"/>
          <w:lang w:eastAsia="en-US"/>
        </w:rPr>
        <w:t>Городские дороги»</w:t>
      </w:r>
      <w:r w:rsidRPr="00C15C66">
        <w:rPr>
          <w:sz w:val="22"/>
          <w:szCs w:val="22"/>
          <w:lang w:eastAsia="en-US"/>
        </w:rPr>
        <w:t xml:space="preserve"> (утверждена постановлением администрации от 01.11.2013г № 1989), «</w:t>
      </w:r>
      <w:r w:rsidRPr="00C15C66">
        <w:rPr>
          <w:b/>
          <w:sz w:val="22"/>
          <w:szCs w:val="22"/>
          <w:lang w:eastAsia="en-US"/>
        </w:rPr>
        <w:t>Градостроительство</w:t>
      </w:r>
      <w:r w:rsidRPr="00C15C66">
        <w:rPr>
          <w:sz w:val="22"/>
          <w:szCs w:val="22"/>
          <w:lang w:eastAsia="en-US"/>
        </w:rPr>
        <w:t>» (утверждена постановлением администрации от 01.11.2013г № 1992), «</w:t>
      </w:r>
      <w:r w:rsidRPr="00C15C66">
        <w:rPr>
          <w:b/>
          <w:sz w:val="22"/>
          <w:szCs w:val="22"/>
          <w:lang w:eastAsia="en-US"/>
        </w:rPr>
        <w:t>Образование</w:t>
      </w:r>
      <w:r w:rsidRPr="00C15C66">
        <w:rPr>
          <w:sz w:val="22"/>
          <w:szCs w:val="22"/>
          <w:lang w:eastAsia="en-US"/>
        </w:rPr>
        <w:t>» (утверждена постановлением администрации от 01.11.2013г № 1993), «</w:t>
      </w:r>
      <w:r w:rsidRPr="00C15C66">
        <w:rPr>
          <w:b/>
          <w:sz w:val="22"/>
          <w:szCs w:val="22"/>
          <w:lang w:eastAsia="en-US"/>
        </w:rPr>
        <w:t>Поддержка отдельных категорий  граждан и социально-ориентированных некоммерческих организаций</w:t>
      </w:r>
      <w:r w:rsidRPr="00C15C66">
        <w:rPr>
          <w:sz w:val="22"/>
          <w:szCs w:val="22"/>
          <w:lang w:eastAsia="en-US"/>
        </w:rPr>
        <w:t>» (утверждена постановлением администрации от 01.11.2013г № 1994), «</w:t>
      </w:r>
      <w:r w:rsidRPr="00C15C66">
        <w:rPr>
          <w:b/>
          <w:sz w:val="22"/>
          <w:szCs w:val="22"/>
          <w:lang w:eastAsia="en-US"/>
        </w:rPr>
        <w:t>Доступное жильё</w:t>
      </w:r>
      <w:r w:rsidRPr="00C15C66">
        <w:rPr>
          <w:sz w:val="22"/>
          <w:szCs w:val="22"/>
          <w:lang w:eastAsia="en-US"/>
        </w:rPr>
        <w:t>» (утверждена постановлением администрации от 01.11.2013г № 1997), «</w:t>
      </w:r>
      <w:r w:rsidRPr="00C15C66">
        <w:rPr>
          <w:b/>
          <w:sz w:val="22"/>
          <w:szCs w:val="22"/>
          <w:lang w:eastAsia="en-US"/>
        </w:rPr>
        <w:t>Жилищно-коммунальное-хозяйство</w:t>
      </w:r>
      <w:r w:rsidRPr="00C15C66">
        <w:rPr>
          <w:sz w:val="22"/>
          <w:szCs w:val="22"/>
          <w:lang w:eastAsia="en-US"/>
        </w:rPr>
        <w:t>» (утверждена постановлением администрации от 01.11.2013г № 1998), «</w:t>
      </w:r>
      <w:r w:rsidRPr="00C15C66">
        <w:rPr>
          <w:b/>
          <w:sz w:val="22"/>
          <w:szCs w:val="22"/>
          <w:lang w:eastAsia="en-US"/>
        </w:rPr>
        <w:t>Совершенствование механизмов экономического развития муниципального образования – «город Тулун»</w:t>
      </w:r>
      <w:r w:rsidRPr="00C15C66">
        <w:rPr>
          <w:sz w:val="22"/>
          <w:szCs w:val="22"/>
          <w:lang w:eastAsia="en-US"/>
        </w:rPr>
        <w:t xml:space="preserve"> (утверждена постановлением администрации от 01.11.2013г № 1999).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В газете «Тулунский вестник» № 52 (449) от 28.11.2013г были опубликованы три муниципальных программы, а именно: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 МП «Труд» на 2014-2018 годы (утверждена постановлением администрации от 30.10.2013г № 1958),  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МП «Культура» на 2014-2018 годы (утверждена постановлением администрации от 30.10.2013г № 1959), 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МП «Обеспечение комплексных мер безопасности» на 2014-2018 годы (утверждена постановлением администрации от 30.10.2013г № 1960).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В соответствии с частью 2 ст.179 Бюджетного кодекса РФ  муниципальные программы, 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Пунктом 3.10 Положения о порядке принятия решений о разработке муниципальных программ города Тулуна и их формирования и реализации, утвержденного постановлением администрации городского округа от 20.08.2013г № 1606,  муниципальные программы утверждаются администрацией городского округа не позднее, чем за 10 календарных дней до дня внесения проекта местного бюджета в Думу городского округа.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В силу части 2 статьи 157 Бюджетного кодекса РФ, ч.2 ст.9 Федерального закона от 07.02.2011г № 6-ФЗ «Об общих принципах организации и деятельности  контрольно-счетных органов субъектов РФ и муниципальных образований» контрольно-счетные органы муниципальных образований  осуществляют бюджетные полномочия по экспертизе проектов решений о бюджетах, экспертизе муниципальных программ.</w:t>
      </w:r>
    </w:p>
    <w:p w:rsidR="005B7BD9" w:rsidRPr="00C15C66" w:rsidRDefault="005B7BD9" w:rsidP="000B4619">
      <w:pPr>
        <w:ind w:firstLine="709"/>
        <w:jc w:val="both"/>
        <w:rPr>
          <w:b/>
          <w:sz w:val="22"/>
          <w:szCs w:val="22"/>
          <w:lang w:eastAsia="en-US"/>
        </w:rPr>
      </w:pPr>
      <w:r w:rsidRPr="00C15C66">
        <w:rPr>
          <w:b/>
          <w:sz w:val="22"/>
          <w:szCs w:val="22"/>
          <w:lang w:eastAsia="en-US"/>
        </w:rPr>
        <w:t>В нарушение</w:t>
      </w:r>
      <w:r w:rsidRPr="00C15C66">
        <w:rPr>
          <w:sz w:val="22"/>
          <w:szCs w:val="22"/>
          <w:lang w:eastAsia="en-US"/>
        </w:rPr>
        <w:t xml:space="preserve"> части 2 статьи 157 Бюджетного кодекса РФ, ч.2 ст.9 Федерального закона от 07.02.2011г № 6-ФЗ, пункта 6 раздела 2 Положения о бюджетном процессе в муниципальном образовании – «город Тулун» проекты муниципальных программ </w:t>
      </w:r>
      <w:r w:rsidRPr="00C15C66">
        <w:rPr>
          <w:b/>
          <w:sz w:val="22"/>
          <w:szCs w:val="22"/>
          <w:lang w:eastAsia="en-US"/>
        </w:rPr>
        <w:t xml:space="preserve">не были представлены администрацией городского округа на экспертизу в КСП г.Тулуна. </w:t>
      </w:r>
    </w:p>
    <w:p w:rsidR="005B7BD9" w:rsidRPr="00C15C66" w:rsidRDefault="005B7BD9" w:rsidP="000B4619">
      <w:pPr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В связи с вступлением в силу с 01 января 2014 года муниципальной программы  города Тулуна «Доступное жильё», утвержденной постановлением администрации городского округа от 01.11.2013г № 1997,  Думе городского округа </w:t>
      </w:r>
      <w:r w:rsidRPr="00C15C66">
        <w:rPr>
          <w:b/>
          <w:sz w:val="22"/>
          <w:szCs w:val="22"/>
          <w:lang w:eastAsia="en-US"/>
        </w:rPr>
        <w:t>необходимо принять нормативный правовой акт  о признании утратившими силу</w:t>
      </w:r>
      <w:r w:rsidRPr="00C15C66">
        <w:rPr>
          <w:sz w:val="22"/>
          <w:szCs w:val="22"/>
          <w:lang w:eastAsia="en-US"/>
        </w:rPr>
        <w:t xml:space="preserve"> с 01.01.2014г  решений Думы об утверждении муниципальной целевой программы «Переселение граждан из ветхого и аварийного жилищного  фонда в муниципальном образовании – «город Тулун» и внесении изменений в программу (см. рекомендации раздела 5 Заключения).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Анализ программных расходов произведен на основе  расчетов бюджетных ассигнований  главных распорядителей бюджетных средств на очередной финансовый год и на плановый период 2015 и 2016 годов, подготовленных в соответствии с порядком и методикой планирования  бюджетных ассигнований  местного бюджета, и представлен в таблице №1.                 </w:t>
      </w:r>
    </w:p>
    <w:p w:rsidR="005B7BD9" w:rsidRPr="00C15C66" w:rsidRDefault="005B7BD9" w:rsidP="00002E37">
      <w:pPr>
        <w:jc w:val="center"/>
        <w:rPr>
          <w:b/>
          <w:sz w:val="22"/>
          <w:szCs w:val="22"/>
          <w:lang w:eastAsia="en-US"/>
        </w:rPr>
      </w:pPr>
      <w:r w:rsidRPr="00C15C66">
        <w:rPr>
          <w:b/>
          <w:sz w:val="22"/>
          <w:szCs w:val="22"/>
          <w:lang w:eastAsia="en-US"/>
        </w:rPr>
        <w:t>Анализ  ресурсного обеспечения муниципальных программ на 2014 год (тыс.руб.)</w:t>
      </w:r>
    </w:p>
    <w:p w:rsidR="005B7BD9" w:rsidRPr="00C15C66" w:rsidRDefault="005B7BD9" w:rsidP="000B4619">
      <w:pPr>
        <w:ind w:firstLine="708"/>
        <w:jc w:val="right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Таблица 1</w:t>
      </w:r>
    </w:p>
    <w:p w:rsidR="005B7BD9" w:rsidRPr="00C15C66" w:rsidRDefault="005B7BD9" w:rsidP="000B4619">
      <w:pPr>
        <w:ind w:firstLine="708"/>
        <w:jc w:val="right"/>
        <w:rPr>
          <w:sz w:val="22"/>
          <w:szCs w:val="22"/>
          <w:u w:val="single"/>
          <w:lang w:eastAsia="en-US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8"/>
        <w:gridCol w:w="1620"/>
        <w:gridCol w:w="1620"/>
        <w:gridCol w:w="1577"/>
        <w:gridCol w:w="1303"/>
      </w:tblGrid>
      <w:tr w:rsidR="005B7BD9" w:rsidRPr="00C15C66" w:rsidTr="00C15C66">
        <w:tc>
          <w:tcPr>
            <w:tcW w:w="4968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Наименование  муниципальной программы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Предусмотрено программой</w:t>
            </w:r>
          </w:p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на 2014 год</w:t>
            </w:r>
          </w:p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5B7BD9" w:rsidRPr="00C15C66" w:rsidRDefault="005B7BD9" w:rsidP="00002E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Предусмотрено проектом бюджета на 2014 год</w:t>
            </w:r>
          </w:p>
        </w:tc>
        <w:tc>
          <w:tcPr>
            <w:tcW w:w="1577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%</w:t>
            </w:r>
          </w:p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ресурсного</w:t>
            </w:r>
          </w:p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</w:t>
            </w:r>
            <w:r w:rsidRPr="00C15C66"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303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Отклоне-ние (гр.3-гр.2)</w:t>
            </w:r>
          </w:p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(+;-)</w:t>
            </w:r>
          </w:p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7BD9" w:rsidRPr="00C15C66" w:rsidTr="00C15C66">
        <w:tc>
          <w:tcPr>
            <w:tcW w:w="4968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77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3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B7BD9" w:rsidRPr="00C15C66" w:rsidTr="00C15C66">
        <w:tc>
          <w:tcPr>
            <w:tcW w:w="4968" w:type="dxa"/>
          </w:tcPr>
          <w:p w:rsidR="005B7BD9" w:rsidRPr="00C15C66" w:rsidRDefault="005B7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«Совершенствование механизмов экономического развития муниципального образования – «город Тулун»» на 2014-2018 годы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2815,9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2595,9</w:t>
            </w:r>
          </w:p>
        </w:tc>
        <w:tc>
          <w:tcPr>
            <w:tcW w:w="1577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92,2</w:t>
            </w:r>
          </w:p>
        </w:tc>
        <w:tc>
          <w:tcPr>
            <w:tcW w:w="1303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-220,0</w:t>
            </w:r>
          </w:p>
        </w:tc>
      </w:tr>
      <w:tr w:rsidR="005B7BD9" w:rsidRPr="00C15C66" w:rsidTr="00C15C66">
        <w:tc>
          <w:tcPr>
            <w:tcW w:w="4968" w:type="dxa"/>
          </w:tcPr>
          <w:p w:rsidR="005B7BD9" w:rsidRPr="00C15C66" w:rsidRDefault="005B7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«Труд» на 2014 -2018 годы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680,3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680,3</w:t>
            </w:r>
          </w:p>
        </w:tc>
        <w:tc>
          <w:tcPr>
            <w:tcW w:w="1577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03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B7BD9" w:rsidRPr="00C15C66" w:rsidTr="00C15C66">
        <w:tc>
          <w:tcPr>
            <w:tcW w:w="4968" w:type="dxa"/>
          </w:tcPr>
          <w:p w:rsidR="005B7BD9" w:rsidRPr="00C15C66" w:rsidRDefault="005B7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«Образование» на 2014 –2018 годы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569283,1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467166,8</w:t>
            </w:r>
          </w:p>
        </w:tc>
        <w:tc>
          <w:tcPr>
            <w:tcW w:w="1577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82,1</w:t>
            </w:r>
          </w:p>
        </w:tc>
        <w:tc>
          <w:tcPr>
            <w:tcW w:w="1303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-102116,3</w:t>
            </w:r>
          </w:p>
        </w:tc>
      </w:tr>
      <w:tr w:rsidR="005B7BD9" w:rsidRPr="00C15C66" w:rsidTr="00C15C66">
        <w:tc>
          <w:tcPr>
            <w:tcW w:w="4968" w:type="dxa"/>
          </w:tcPr>
          <w:p w:rsidR="005B7BD9" w:rsidRPr="00C15C66" w:rsidRDefault="005B7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«Культура» на 2014 –2018 годы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40628,7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34104,9</w:t>
            </w:r>
          </w:p>
        </w:tc>
        <w:tc>
          <w:tcPr>
            <w:tcW w:w="1577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83,9</w:t>
            </w:r>
          </w:p>
        </w:tc>
        <w:tc>
          <w:tcPr>
            <w:tcW w:w="1303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-6523,8</w:t>
            </w:r>
          </w:p>
        </w:tc>
      </w:tr>
      <w:tr w:rsidR="005B7BD9" w:rsidRPr="00C15C66" w:rsidTr="00C15C66">
        <w:tc>
          <w:tcPr>
            <w:tcW w:w="4968" w:type="dxa"/>
          </w:tcPr>
          <w:p w:rsidR="005B7BD9" w:rsidRPr="00C15C66" w:rsidRDefault="005B7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«Молодежь» на 2014 –2018 годы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577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03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B7BD9" w:rsidRPr="00C15C66" w:rsidTr="00C15C66">
        <w:tc>
          <w:tcPr>
            <w:tcW w:w="4968" w:type="dxa"/>
          </w:tcPr>
          <w:p w:rsidR="005B7BD9" w:rsidRPr="00C15C66" w:rsidRDefault="005B7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«Доступное жилье» на 2014 –2018 годы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20668,7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16668,7</w:t>
            </w:r>
          </w:p>
        </w:tc>
        <w:tc>
          <w:tcPr>
            <w:tcW w:w="1577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80,6</w:t>
            </w:r>
          </w:p>
        </w:tc>
        <w:tc>
          <w:tcPr>
            <w:tcW w:w="1303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-4000,0</w:t>
            </w:r>
          </w:p>
        </w:tc>
      </w:tr>
      <w:tr w:rsidR="005B7BD9" w:rsidRPr="00C15C66" w:rsidTr="00C15C66">
        <w:tc>
          <w:tcPr>
            <w:tcW w:w="4968" w:type="dxa"/>
          </w:tcPr>
          <w:p w:rsidR="005B7BD9" w:rsidRPr="00C15C66" w:rsidRDefault="005B7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 xml:space="preserve">«Физическая культура и спорт» на 2014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C15C66">
              <w:rPr>
                <w:sz w:val="22"/>
                <w:szCs w:val="22"/>
                <w:lang w:eastAsia="en-US"/>
              </w:rPr>
              <w:t xml:space="preserve"> 2018</w:t>
            </w:r>
            <w:r>
              <w:rPr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33780,0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33080,0</w:t>
            </w:r>
          </w:p>
        </w:tc>
        <w:tc>
          <w:tcPr>
            <w:tcW w:w="1577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97,9</w:t>
            </w:r>
          </w:p>
        </w:tc>
        <w:tc>
          <w:tcPr>
            <w:tcW w:w="1303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-700,0</w:t>
            </w:r>
          </w:p>
        </w:tc>
      </w:tr>
      <w:tr w:rsidR="005B7BD9" w:rsidRPr="00C15C66" w:rsidTr="00C15C66">
        <w:tc>
          <w:tcPr>
            <w:tcW w:w="4968" w:type="dxa"/>
          </w:tcPr>
          <w:p w:rsidR="005B7BD9" w:rsidRPr="00C15C66" w:rsidRDefault="005B7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«Охрана здоровья населения» на 2014 - 2018 годы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1549,3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1049,3</w:t>
            </w:r>
          </w:p>
        </w:tc>
        <w:tc>
          <w:tcPr>
            <w:tcW w:w="1577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67,7</w:t>
            </w:r>
          </w:p>
        </w:tc>
        <w:tc>
          <w:tcPr>
            <w:tcW w:w="1303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-500,0</w:t>
            </w:r>
          </w:p>
        </w:tc>
      </w:tr>
      <w:tr w:rsidR="005B7BD9" w:rsidRPr="00C15C66" w:rsidTr="00C15C66">
        <w:tc>
          <w:tcPr>
            <w:tcW w:w="4968" w:type="dxa"/>
          </w:tcPr>
          <w:p w:rsidR="005B7BD9" w:rsidRPr="00C15C66" w:rsidRDefault="005B7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«Обеспечение комплексных мер безопасности» на 2014 -2018 годы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1392,4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1392,4</w:t>
            </w:r>
          </w:p>
        </w:tc>
        <w:tc>
          <w:tcPr>
            <w:tcW w:w="1577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03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7BD9" w:rsidRPr="00C15C66" w:rsidTr="00C15C66">
        <w:tc>
          <w:tcPr>
            <w:tcW w:w="4968" w:type="dxa"/>
          </w:tcPr>
          <w:p w:rsidR="005B7BD9" w:rsidRPr="00C15C66" w:rsidRDefault="005B7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«Поддержка отдельных категорий граждан и социально ориентированных некоммерческих организаций» на 2014 - 2018 годы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41163,8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41163,8</w:t>
            </w:r>
          </w:p>
        </w:tc>
        <w:tc>
          <w:tcPr>
            <w:tcW w:w="1577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03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7BD9" w:rsidRPr="00C15C66" w:rsidTr="00C15C66">
        <w:tc>
          <w:tcPr>
            <w:tcW w:w="4968" w:type="dxa"/>
          </w:tcPr>
          <w:p w:rsidR="005B7BD9" w:rsidRPr="00C15C66" w:rsidRDefault="005B7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«Транспортное обслуживание населения» на 2014 - 2018 годы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577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36,5</w:t>
            </w:r>
          </w:p>
        </w:tc>
        <w:tc>
          <w:tcPr>
            <w:tcW w:w="1303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-47,0</w:t>
            </w:r>
          </w:p>
        </w:tc>
      </w:tr>
      <w:tr w:rsidR="005B7BD9" w:rsidRPr="00C15C66" w:rsidTr="00C15C66">
        <w:tc>
          <w:tcPr>
            <w:tcW w:w="4968" w:type="dxa"/>
          </w:tcPr>
          <w:p w:rsidR="005B7BD9" w:rsidRPr="00C15C66" w:rsidRDefault="005B7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«Жилищно - коммунальное хозяйство» на 2014 -2018 годы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61822,3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12414,3</w:t>
            </w:r>
          </w:p>
        </w:tc>
        <w:tc>
          <w:tcPr>
            <w:tcW w:w="1577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20,1</w:t>
            </w:r>
          </w:p>
        </w:tc>
        <w:tc>
          <w:tcPr>
            <w:tcW w:w="1303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-49408,0</w:t>
            </w:r>
          </w:p>
        </w:tc>
      </w:tr>
      <w:tr w:rsidR="005B7BD9" w:rsidRPr="00C15C66" w:rsidTr="00C15C66">
        <w:tc>
          <w:tcPr>
            <w:tcW w:w="4968" w:type="dxa"/>
          </w:tcPr>
          <w:p w:rsidR="005B7BD9" w:rsidRPr="00C15C66" w:rsidRDefault="005B7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«Охрана окружающей среды» на 2014 -2018 годы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4889,4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4889,4</w:t>
            </w:r>
          </w:p>
        </w:tc>
        <w:tc>
          <w:tcPr>
            <w:tcW w:w="1577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03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B7BD9" w:rsidRPr="00C15C66" w:rsidTr="00C15C66">
        <w:tc>
          <w:tcPr>
            <w:tcW w:w="4968" w:type="dxa"/>
          </w:tcPr>
          <w:p w:rsidR="005B7BD9" w:rsidRPr="00C15C66" w:rsidRDefault="005B7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«Городские дороги» на 2014 -2018 годы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26555,0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26555,0</w:t>
            </w:r>
          </w:p>
        </w:tc>
        <w:tc>
          <w:tcPr>
            <w:tcW w:w="1577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03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B7BD9" w:rsidRPr="00C15C66" w:rsidTr="00C15C66">
        <w:tc>
          <w:tcPr>
            <w:tcW w:w="4968" w:type="dxa"/>
          </w:tcPr>
          <w:p w:rsidR="005B7BD9" w:rsidRPr="00C15C66" w:rsidRDefault="005B7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«Градостроительство» на 2014 -2018 годы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3103,31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2353,3</w:t>
            </w:r>
          </w:p>
        </w:tc>
        <w:tc>
          <w:tcPr>
            <w:tcW w:w="1577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75,8</w:t>
            </w:r>
          </w:p>
        </w:tc>
        <w:tc>
          <w:tcPr>
            <w:tcW w:w="1303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-750,01</w:t>
            </w:r>
          </w:p>
        </w:tc>
      </w:tr>
      <w:tr w:rsidR="005B7BD9" w:rsidRPr="00C15C66" w:rsidTr="00C15C66">
        <w:tc>
          <w:tcPr>
            <w:tcW w:w="4968" w:type="dxa"/>
          </w:tcPr>
          <w:p w:rsidR="005B7BD9" w:rsidRPr="00C15C66" w:rsidRDefault="005B7BD9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15C66">
              <w:rPr>
                <w:b/>
                <w:sz w:val="22"/>
                <w:szCs w:val="22"/>
                <w:lang w:eastAsia="en-US"/>
              </w:rPr>
              <w:t>Итого расходы по муниципальным  программам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15C66">
              <w:rPr>
                <w:b/>
                <w:sz w:val="22"/>
                <w:szCs w:val="22"/>
                <w:lang w:eastAsia="en-US"/>
              </w:rPr>
              <w:t>808906,21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15C66">
              <w:rPr>
                <w:b/>
                <w:sz w:val="22"/>
                <w:szCs w:val="22"/>
                <w:lang w:eastAsia="en-US"/>
              </w:rPr>
              <w:t>644641,0</w:t>
            </w:r>
          </w:p>
        </w:tc>
        <w:tc>
          <w:tcPr>
            <w:tcW w:w="1577" w:type="dxa"/>
          </w:tcPr>
          <w:p w:rsidR="005B7BD9" w:rsidRPr="00C15C66" w:rsidRDefault="005B7B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15C66">
              <w:rPr>
                <w:b/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303" w:type="dxa"/>
          </w:tcPr>
          <w:p w:rsidR="005B7BD9" w:rsidRPr="00C15C66" w:rsidRDefault="005B7B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15C66">
              <w:rPr>
                <w:b/>
                <w:sz w:val="22"/>
                <w:szCs w:val="22"/>
                <w:lang w:eastAsia="en-US"/>
              </w:rPr>
              <w:t>-164265,21</w:t>
            </w:r>
          </w:p>
        </w:tc>
      </w:tr>
      <w:tr w:rsidR="005B7BD9" w:rsidRPr="00C15C66" w:rsidTr="00C15C66">
        <w:trPr>
          <w:trHeight w:val="428"/>
        </w:trPr>
        <w:tc>
          <w:tcPr>
            <w:tcW w:w="4968" w:type="dxa"/>
          </w:tcPr>
          <w:p w:rsidR="005B7BD9" w:rsidRPr="00C15C66" w:rsidRDefault="005B7BD9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B7BD9" w:rsidRPr="00C15C66" w:rsidRDefault="005B7BD9" w:rsidP="00741E8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15C66">
              <w:rPr>
                <w:b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98036,1</w:t>
            </w:r>
          </w:p>
        </w:tc>
        <w:tc>
          <w:tcPr>
            <w:tcW w:w="1620" w:type="dxa"/>
            <w:vAlign w:val="bottom"/>
          </w:tcPr>
          <w:p w:rsidR="005B7BD9" w:rsidRPr="00C15C66" w:rsidRDefault="005B7BD9" w:rsidP="00741E8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15C66">
              <w:rPr>
                <w:bCs/>
                <w:sz w:val="22"/>
                <w:szCs w:val="22"/>
                <w:lang w:eastAsia="en-US"/>
              </w:rPr>
              <w:t>84 551,6</w:t>
            </w:r>
          </w:p>
        </w:tc>
        <w:tc>
          <w:tcPr>
            <w:tcW w:w="1577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86,2</w:t>
            </w:r>
          </w:p>
        </w:tc>
        <w:tc>
          <w:tcPr>
            <w:tcW w:w="1303" w:type="dxa"/>
            <w:vAlign w:val="bottom"/>
          </w:tcPr>
          <w:p w:rsidR="005B7BD9" w:rsidRPr="00C15C66" w:rsidRDefault="005B7BD9" w:rsidP="00741E8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15C66">
              <w:rPr>
                <w:bCs/>
                <w:sz w:val="22"/>
                <w:szCs w:val="22"/>
                <w:lang w:eastAsia="en-US"/>
              </w:rPr>
              <w:t>-13484,5</w:t>
            </w:r>
          </w:p>
        </w:tc>
      </w:tr>
      <w:tr w:rsidR="005B7BD9" w:rsidRPr="00C15C66" w:rsidTr="00C15C66">
        <w:tc>
          <w:tcPr>
            <w:tcW w:w="4968" w:type="dxa"/>
          </w:tcPr>
          <w:p w:rsidR="005B7BD9" w:rsidRPr="00C15C66" w:rsidRDefault="005B7BD9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15C66">
              <w:rPr>
                <w:b/>
                <w:sz w:val="22"/>
                <w:szCs w:val="22"/>
                <w:lang w:eastAsia="en-US"/>
              </w:rPr>
              <w:t>Всего расходы бюджета</w:t>
            </w: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5C66">
              <w:rPr>
                <w:sz w:val="22"/>
                <w:szCs w:val="22"/>
                <w:lang w:eastAsia="en-US"/>
              </w:rPr>
              <w:t>729192,6</w:t>
            </w:r>
          </w:p>
        </w:tc>
        <w:tc>
          <w:tcPr>
            <w:tcW w:w="1577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</w:tcPr>
          <w:p w:rsidR="005B7BD9" w:rsidRPr="00C15C66" w:rsidRDefault="005B7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B7BD9" w:rsidRPr="00C15C66" w:rsidRDefault="005B7BD9" w:rsidP="00F00A48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Объем финансирования программных мероприятий на 2014-2018 годы по источникам сформирован из средств  местного бюджета в сумме 1468597,09 тыс.руб. (32%), средств областного бюджета в сумме  2954693,19 тыс.руб. (65%), средств федерального бюджета в сумме 98513,8 тыс.руб. (2 %), иных источников в сумме 32029,0 тыс.руб. (1%).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На выполнение мероприятий  15-ти муниципальных программ проектом бюджета на 2014 год предусмотрено ресурсное обеспечение  в объеме 644641,0 тыс.руб., что  составляет всего 79,7% от потребности, отклонение от  утвержденных программных ресурсов составило минус (-) 164265,21 тыс.руб., в т.ч. по средствам местного бюджета минус (-) 29276,81 тыс.руб., областного бюджета минус (-) 128941,4 тыс.руб., иным источникам минус (-)6047,0 тыс.рублей.</w:t>
      </w:r>
    </w:p>
    <w:p w:rsidR="005B7BD9" w:rsidRPr="00C15C66" w:rsidRDefault="005B7BD9" w:rsidP="000B4619">
      <w:pPr>
        <w:ind w:firstLine="708"/>
        <w:jc w:val="both"/>
        <w:rPr>
          <w:sz w:val="16"/>
          <w:szCs w:val="16"/>
          <w:lang w:eastAsia="en-US"/>
        </w:rPr>
      </w:pPr>
    </w:p>
    <w:p w:rsidR="005B7BD9" w:rsidRPr="00C15C66" w:rsidRDefault="005B7BD9" w:rsidP="00F00A48">
      <w:pPr>
        <w:jc w:val="center"/>
        <w:rPr>
          <w:b/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1.Муниципальная программа города Тулуна </w:t>
      </w:r>
      <w:r w:rsidRPr="00C15C66">
        <w:rPr>
          <w:b/>
          <w:sz w:val="22"/>
          <w:szCs w:val="22"/>
          <w:lang w:eastAsia="en-US"/>
        </w:rPr>
        <w:t>«Совершенствование механизмов экономического развития муниципального образования- «город Тулун»</w:t>
      </w:r>
    </w:p>
    <w:p w:rsidR="005B7BD9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Общий планируемый объем финансирования  программы на 2014 -2018 годы  составляет  17197,0 тыс.руб., в том числе за счет средств местного бюджета 10174,2 тыс.руб., областного бюджета -2623,8 тыс.руб., федерального бюджета 4399,0 тыс.рублей. Проектом бюджета ресурсное обеспечение программы на 2014 год предусмотрено за счет средств местного бюджета в объеме 2315,5 тыс.руб. или 100%,  областного бюджета -280,4 тыс.руб. или 56%  от объема, предусмотренного программой (предусмотрено программой500,4тыс.руб.).По подпрограмме «Развитие малого и среднего предпринимательства»  по мероприятию «Оказание поддержки субъектам малого и среднего предпринимательства города Тулуна» ресурсное обеспечение за счет  средств областного бюджета не предусмотрено.</w:t>
      </w:r>
    </w:p>
    <w:p w:rsidR="005B7BD9" w:rsidRPr="00C15C66" w:rsidRDefault="005B7BD9" w:rsidP="000B4619">
      <w:pPr>
        <w:ind w:firstLine="708"/>
        <w:jc w:val="both"/>
        <w:rPr>
          <w:sz w:val="16"/>
          <w:szCs w:val="16"/>
          <w:lang w:eastAsia="en-US"/>
        </w:rPr>
      </w:pPr>
    </w:p>
    <w:p w:rsidR="005B7BD9" w:rsidRPr="00C15C66" w:rsidRDefault="005B7BD9" w:rsidP="00F00A48">
      <w:pPr>
        <w:ind w:firstLine="708"/>
        <w:jc w:val="center"/>
        <w:rPr>
          <w:b/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2.Муниципальная программа «</w:t>
      </w:r>
      <w:r w:rsidRPr="00C15C66">
        <w:rPr>
          <w:b/>
          <w:sz w:val="22"/>
          <w:szCs w:val="22"/>
          <w:lang w:eastAsia="en-US"/>
        </w:rPr>
        <w:t>Труд»</w:t>
      </w:r>
    </w:p>
    <w:p w:rsidR="005B7BD9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Общий планируемый объем финансирования  программы на 2014 -2018 годы  составляет  3426,5,0 тыс.руб., в том числе за счет средств местного бюджета 240,0 тыс.руб., областного бюджета -3186,5 тыс.рублей. Ресурсное обеспечение программы на 2014 год предусмотрено за счет средств местного бюджета в объеме 43,0 тыс.руб. или 100%,  областного бюджета -637,3 тыс.руб. или 100%  от объема, предусмотренного программой.</w:t>
      </w:r>
    </w:p>
    <w:p w:rsidR="005B7BD9" w:rsidRPr="00C15C66" w:rsidRDefault="005B7BD9" w:rsidP="000B4619">
      <w:pPr>
        <w:ind w:firstLine="708"/>
        <w:jc w:val="both"/>
        <w:rPr>
          <w:sz w:val="16"/>
          <w:szCs w:val="16"/>
          <w:lang w:eastAsia="en-US"/>
        </w:rPr>
      </w:pPr>
    </w:p>
    <w:p w:rsidR="005B7BD9" w:rsidRPr="00C15C66" w:rsidRDefault="005B7BD9" w:rsidP="00F00A48">
      <w:pPr>
        <w:ind w:firstLine="708"/>
        <w:jc w:val="center"/>
        <w:rPr>
          <w:b/>
          <w:i/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3.Муниципальная программа </w:t>
      </w:r>
      <w:r w:rsidRPr="00C15C66">
        <w:rPr>
          <w:b/>
          <w:sz w:val="22"/>
          <w:szCs w:val="22"/>
          <w:lang w:eastAsia="en-US"/>
        </w:rPr>
        <w:t>«Образование»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Общий планируемый объем финансирования  программы на 2014 -2018 годы  составляет  3023926,1 тыс.руб., в том числе за счет средств местного бюджета 773414,0 тыс.руб., областного бюджета -2250512,1 тыс.рублей. Ресурсное обеспечение программы на 2014 год предусмотрено за счет средств местного бюджета в объеме 120623,8 тыс.руб. или 88% (предусмотрено программой 136726,7 тыс.руб.),  областного бюджета -346543,0 тыс.руб. или 80%  от объема, предусмотренного программой (предусмотрено программой 432556,4тыс.руб.).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По подпрограмме «Общее образование» проектом бюджета предусмотрено ресурсное обеспечение в сумме 405556,2 тыс.руб. или 80% от потребности (предусмотрено программой 506795,1тыс.руб.), в т.ч.  ресурсное обеспечение за счет  средств  местного бюджета составляет 59013,2 тыс.руб. или 79,5% (по программе 74238,7 тыс.руб.), областного бюджета 346543,0 тыс.руб. или 80% (по программе 405556,2 тыс.руб.).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По подпрограмме «Дополнительное образование» предусмотрено ресурсное обеспечение в сумме 56500,8 тыс.руб. или 98% (предусмотрено программой 57378,2 тыс.руб.) за счет средств местного бюджета.</w:t>
      </w:r>
    </w:p>
    <w:p w:rsidR="005B7BD9" w:rsidRDefault="005B7BD9" w:rsidP="00F00A48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По основному мероприятию «Организационно-методологическое обеспечение деятельности образовательных учреждений» предусмотрено 5109,8 тыс.рублей или 100% за счет средств местного бюджета (примечание: данные средства предусмотрены на содержание МУ «Методический центр»)</w:t>
      </w:r>
      <w:r>
        <w:rPr>
          <w:sz w:val="22"/>
          <w:szCs w:val="22"/>
          <w:lang w:eastAsia="en-US"/>
        </w:rPr>
        <w:t>.</w:t>
      </w:r>
    </w:p>
    <w:p w:rsidR="005B7BD9" w:rsidRPr="00C15C66" w:rsidRDefault="005B7BD9" w:rsidP="00F00A48">
      <w:pPr>
        <w:ind w:firstLine="708"/>
        <w:jc w:val="both"/>
        <w:rPr>
          <w:sz w:val="16"/>
          <w:szCs w:val="16"/>
          <w:lang w:eastAsia="en-US"/>
        </w:rPr>
      </w:pPr>
    </w:p>
    <w:p w:rsidR="005B7BD9" w:rsidRPr="00C15C66" w:rsidRDefault="005B7BD9" w:rsidP="00F00A48">
      <w:pPr>
        <w:ind w:firstLine="708"/>
        <w:jc w:val="center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4.Муниципальная программа «</w:t>
      </w:r>
      <w:r w:rsidRPr="00C15C66">
        <w:rPr>
          <w:b/>
          <w:sz w:val="22"/>
          <w:szCs w:val="22"/>
          <w:lang w:eastAsia="en-US"/>
        </w:rPr>
        <w:t>Культура»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Общий планируемый объем финансирования  программы на 2014 -2018 годы  составляет  280824,3 тыс.руб., в том числе за счет средств местного бюджета 274629,3 тыс.руб., областного бюджета  6195,0 тыс.рублей. Ресурсное обеспечение программы на 2014 год предусмотрено за счет средств местного бюджета в объеме 32865,9 тыс.руб.  или 83% от потребности (по программе предусмотрено 39389,7 тыс.руб.),  областного бюджета -1239,0 тыс.руб. или 100%  от объема, предусмотренного программой.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По  мероприятию «Библиотечное обслуживание населения» ресурсное обеспечение за счет средств местного бюджета составляет 13175,8 тыс.руб. или 83% (предусмотрено программой 15899,4 тыс.руб.).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По  мероприятию «Культурное наследие»ресурсное обеспечение составляет за счет средств местного бюджета 3648,5 тыс.руб. или 81% от потребности (предусмотрено программой 4513,3 тыс.руб.).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По мероприятию «Организация досуга» ресурсное обеспечение составляет за счет средств местного бюджета 16041,6 тыс.руб. или 85% от потребности (предусмотрено программой 18854,9 тыс.руб.).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По мероприятию «Развитие инфраструктуры учреждений культуры»ресурсное обеспечение  за счет средств местного бюджета не предусмотрено.</w:t>
      </w:r>
    </w:p>
    <w:p w:rsidR="005B7BD9" w:rsidRDefault="005B7BD9" w:rsidP="00F00A48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По мероприятию «Осуществление государственных полномочий по хранению, комплектованию, учету и использованию архивных документов» ресурсное обеспечение составляет за счет средств областного бюджета 1239,0 тыс.руб. или  100%  от предусмотренных программой средств.</w:t>
      </w:r>
    </w:p>
    <w:p w:rsidR="005B7BD9" w:rsidRPr="00C15C66" w:rsidRDefault="005B7BD9" w:rsidP="00F00A48">
      <w:pPr>
        <w:ind w:firstLine="708"/>
        <w:jc w:val="both"/>
        <w:rPr>
          <w:sz w:val="16"/>
          <w:szCs w:val="16"/>
          <w:lang w:eastAsia="en-US"/>
        </w:rPr>
      </w:pPr>
    </w:p>
    <w:p w:rsidR="005B7BD9" w:rsidRPr="00C15C66" w:rsidRDefault="005B7BD9" w:rsidP="00F00A48">
      <w:pPr>
        <w:ind w:firstLine="708"/>
        <w:jc w:val="center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5. Муниципальная программа «</w:t>
      </w:r>
      <w:r w:rsidRPr="00C15C66">
        <w:rPr>
          <w:b/>
          <w:sz w:val="22"/>
          <w:szCs w:val="22"/>
          <w:lang w:eastAsia="en-US"/>
        </w:rPr>
        <w:t>Молодежь»</w:t>
      </w:r>
    </w:p>
    <w:p w:rsidR="005B7BD9" w:rsidRDefault="005B7BD9" w:rsidP="00F00A48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Общий планируемый объем финансирования  программы на 2014-2018 годы  составляет  2759,3 тыс.руб.(за счет средств местного бюджета). Ресурсное обеспечение программы на 2014 год предусмотрено за счет средств местного бюджета в сумме 500,0 тыс.руб. или 100% от объема предусмотренного программой.</w:t>
      </w:r>
    </w:p>
    <w:p w:rsidR="005B7BD9" w:rsidRPr="00C15C66" w:rsidRDefault="005B7BD9" w:rsidP="00F00A48">
      <w:pPr>
        <w:ind w:firstLine="708"/>
        <w:jc w:val="both"/>
        <w:rPr>
          <w:sz w:val="16"/>
          <w:szCs w:val="16"/>
          <w:lang w:eastAsia="en-US"/>
        </w:rPr>
      </w:pPr>
    </w:p>
    <w:p w:rsidR="005B7BD9" w:rsidRPr="00C15C66" w:rsidRDefault="005B7BD9" w:rsidP="00F00A48">
      <w:pPr>
        <w:ind w:firstLine="708"/>
        <w:jc w:val="center"/>
        <w:rPr>
          <w:b/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6.Муниципальная программа «</w:t>
      </w:r>
      <w:r w:rsidRPr="00C15C66">
        <w:rPr>
          <w:b/>
          <w:sz w:val="22"/>
          <w:szCs w:val="22"/>
          <w:lang w:eastAsia="en-US"/>
        </w:rPr>
        <w:t>Доступное жилье»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Общий планируемый объем финансирования  программы на период 2014 -2018 годы  составляет  92773,4 тыс.руб., в том числе за счет средств местного бюджета 26513,8 тыс.руб., областного бюджета 59615,6 тыс.руб., федерального бюджета 6644 тыс.рублей. 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Проектом бюджета ресурсное обеспечение программы на 2014 год предусмотрено за счет средств местного бюджета в объеме 3585,9 тыс.руб. или 68% от потребности (по программе 5285,9 тыс.руб.), за счет средств областного бюджета в объеме 13082,8 тыс.руб. или 85% от потребности (по программе 15382,8тыс.руб.).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Подпрограмма  «Молодым семьям – доступное жилье»: ресурсное обеспечение составляет 2388,4 тыс.руб. или 100% за счет средств местного бюджета,ресурсное обеспечение за счет  средств областного бюджета не предусмотрено.</w:t>
      </w:r>
    </w:p>
    <w:p w:rsidR="005B7BD9" w:rsidRPr="00C15C66" w:rsidRDefault="005B7BD9" w:rsidP="0052117D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Подпрограмма  «Переселение граждан из ветхого и аварийного жилищного фонда»: ресурсное обеспечение составляет 300,0 тыс.руб. или 15% (по программе 2000,0 тыс.руб.) за счет средств местного бюджета, ресурсное обеспечение за счет  средств областного бюджета предусмотрено в сумме 3816,4 тыс.руб. или 100%.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Основное мероприятие  «Содержание муниципального жилищного фонда»: ресурсное обеспечение составляет 897,5 тыс.руб. или 100% за счет средств местного бюджета.</w:t>
      </w:r>
    </w:p>
    <w:p w:rsidR="005B7BD9" w:rsidRDefault="005B7BD9" w:rsidP="00F00A48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Основное мероприятие «Исполнение судебных решений 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родителей»: ресурсное обеспечение составляет 9266,4 тыс.руб. или 100% за счет  средств областного бюджета.</w:t>
      </w:r>
    </w:p>
    <w:p w:rsidR="005B7BD9" w:rsidRPr="00C15C66" w:rsidRDefault="005B7BD9" w:rsidP="00F00A48">
      <w:pPr>
        <w:ind w:firstLine="708"/>
        <w:jc w:val="both"/>
        <w:rPr>
          <w:sz w:val="16"/>
          <w:szCs w:val="16"/>
          <w:lang w:eastAsia="en-US"/>
        </w:rPr>
      </w:pPr>
    </w:p>
    <w:p w:rsidR="005B7BD9" w:rsidRPr="00C15C66" w:rsidRDefault="005B7BD9" w:rsidP="00F00A48">
      <w:pPr>
        <w:ind w:firstLine="708"/>
        <w:jc w:val="center"/>
        <w:rPr>
          <w:b/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7.Муниципальная программа «</w:t>
      </w:r>
      <w:r w:rsidRPr="00C15C66">
        <w:rPr>
          <w:b/>
          <w:sz w:val="22"/>
          <w:szCs w:val="22"/>
          <w:lang w:eastAsia="en-US"/>
        </w:rPr>
        <w:t>Физическая культура и спорт»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Общий планируемый объем финансирования  программы на 2014 -2018 годы  составляет 90076,4 тыс.руб., в том числе за счет средств местного бюджета 16076,4 тыс.руб., областного бюджета74000,0 тыс.рублей.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 Ресурсное обеспечение программы на 2014 год предусмотрено за счет средств местного бюджета в сумме 33080,0 тыс.рублей или 98% от потребности (по программе 33780,0 тыс.руб.), за счет средств областного бюджета  в сумме 30000,0 тыс.руб. или 100%  от объема, предусмотренного программой.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Основное мероприятие «Организация проведения физкультурно-оздоровительных и спортивных мероприятий»: ресурсное обеспечение составляет 699,0 тыс.руб. или 74% (по программе 949,0 тыс.руб.) за счет средств местного бюджета.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Основное мероприятие «Спортивные достижения»: ресурсное обеспечение составляет 801,0 тыс.руб.  или 76% (по программе 1051,0 тыс.руб.) за счет средств местного бюджета.</w:t>
      </w:r>
    </w:p>
    <w:p w:rsidR="005B7BD9" w:rsidRDefault="005B7BD9" w:rsidP="00F00A48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Основное мероприятие «Развитие спортивной инфраструктуры»:ресурсное обеспечение составляет 31580,0 тыс.руб. или  99% (по программе 31780,0 тыс.руб.),  в т.ч. 1580,0 тыс.руб. или 89% (по программе 1780,0 тыс.руб.) за счет средств местного бюджета,  30000,0 тыс.руб.  или 100% за счет средств областного бюджета.</w:t>
      </w:r>
    </w:p>
    <w:p w:rsidR="005B7BD9" w:rsidRPr="00C15C66" w:rsidRDefault="005B7BD9" w:rsidP="00F00A48">
      <w:pPr>
        <w:ind w:firstLine="708"/>
        <w:jc w:val="both"/>
        <w:rPr>
          <w:sz w:val="16"/>
          <w:szCs w:val="16"/>
          <w:lang w:eastAsia="en-US"/>
        </w:rPr>
      </w:pPr>
    </w:p>
    <w:p w:rsidR="005B7BD9" w:rsidRPr="00C15C66" w:rsidRDefault="005B7BD9" w:rsidP="00F00A48">
      <w:pPr>
        <w:ind w:firstLine="708"/>
        <w:jc w:val="center"/>
        <w:rPr>
          <w:b/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8.Муниципальная программа «</w:t>
      </w:r>
      <w:r w:rsidRPr="00C15C66">
        <w:rPr>
          <w:b/>
          <w:sz w:val="22"/>
          <w:szCs w:val="22"/>
          <w:lang w:eastAsia="en-US"/>
        </w:rPr>
        <w:t>Охрана здоровья»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Общий планируемый объем финансирования  программы на 2014 -2018 годы  составляет 14925,4 тыс.руб., в том числе за счет средств местного бюджета 14411,9 тыс.руб., областного бюджета 513,5 тыс.рублей. 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Ресурсное обеспечение программы на 2014 год предусмотрено за счет средств местного бюджета в сумме 917,7 тыс.руб. или 65% (по программе 1417,7 тыс.руб.), за счет средств областного бюджета в сумме 131,6 тыс.руб. или 100%  от объема, предусмотренного программой.</w:t>
      </w:r>
    </w:p>
    <w:p w:rsidR="005B7BD9" w:rsidRDefault="005B7BD9" w:rsidP="00F00A48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Основное мероприятие «Создание благоприятных условий в целях привлечения медицинских работников и фармацевтических работников для работы в медицинских учреждениях, расположенных на территории города Тулуна»:  ресурсное обеспечение составляет за счет средств местного бюджета 499,7 тыс.руб. или 50% от предусмотренных программой (по программе 999,7 тыс.руб.).</w:t>
      </w:r>
    </w:p>
    <w:p w:rsidR="005B7BD9" w:rsidRPr="00C15C66" w:rsidRDefault="005B7BD9" w:rsidP="00F00A48">
      <w:pPr>
        <w:ind w:firstLine="708"/>
        <w:jc w:val="both"/>
        <w:rPr>
          <w:sz w:val="16"/>
          <w:szCs w:val="16"/>
          <w:lang w:eastAsia="en-US"/>
        </w:rPr>
      </w:pPr>
    </w:p>
    <w:p w:rsidR="005B7BD9" w:rsidRPr="00C15C66" w:rsidRDefault="005B7BD9" w:rsidP="00F00A48">
      <w:pPr>
        <w:ind w:firstLine="708"/>
        <w:jc w:val="center"/>
        <w:rPr>
          <w:b/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9.Муниципальная программа «</w:t>
      </w:r>
      <w:r w:rsidRPr="00C15C66">
        <w:rPr>
          <w:b/>
          <w:sz w:val="22"/>
          <w:szCs w:val="22"/>
          <w:lang w:eastAsia="en-US"/>
        </w:rPr>
        <w:t>Обеспечение комплексных мер безопасности»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Общий планируемый объем финансирования  программы на 2014 -2018 годы  составляет 7527,58 тыс.руб., в том числе за счет средств местного бюджета 4341,08 тыс.руб., областного бюджета 3186,5 тыс.рублей.</w:t>
      </w:r>
    </w:p>
    <w:p w:rsidR="005B7BD9" w:rsidRDefault="005B7BD9" w:rsidP="00F00A48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 Ресурсное обеспечение программы на 2014 год предусмотрено за счет средств местного бюджета в сумме 755,1 тыс.руб. или 100%, областного бюджета – в сумме 637,3 тыс.руб., что также составляет  100% от объема, предусмотренного программой.</w:t>
      </w:r>
    </w:p>
    <w:p w:rsidR="005B7BD9" w:rsidRPr="00C15C66" w:rsidRDefault="005B7BD9" w:rsidP="00F00A48">
      <w:pPr>
        <w:ind w:firstLine="708"/>
        <w:jc w:val="both"/>
        <w:rPr>
          <w:sz w:val="16"/>
          <w:szCs w:val="16"/>
          <w:lang w:eastAsia="en-US"/>
        </w:rPr>
      </w:pPr>
    </w:p>
    <w:p w:rsidR="005B7BD9" w:rsidRPr="00C15C66" w:rsidRDefault="005B7BD9" w:rsidP="00F00A48">
      <w:pPr>
        <w:ind w:firstLine="708"/>
        <w:jc w:val="center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10.Муниципальная программа «</w:t>
      </w:r>
      <w:r w:rsidRPr="00C15C66">
        <w:rPr>
          <w:b/>
          <w:sz w:val="22"/>
          <w:szCs w:val="22"/>
          <w:lang w:eastAsia="en-US"/>
        </w:rPr>
        <w:t>Поддержка отдельных категорий граждан и социально ориентированных некоммерческих организаций</w:t>
      </w:r>
      <w:r w:rsidRPr="00C15C66">
        <w:rPr>
          <w:sz w:val="22"/>
          <w:szCs w:val="22"/>
          <w:lang w:eastAsia="en-US"/>
        </w:rPr>
        <w:t>»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Общий планируемый объем финансирования  программы на 2014 -2018 годы  составляет  215187,5 тыс.руб, в том числе за счет средств местного бюджета 34313,5 тыс.руб., областного бюджета 180874,0 тыс.рублей. </w:t>
      </w:r>
    </w:p>
    <w:p w:rsidR="005B7BD9" w:rsidRDefault="005B7BD9" w:rsidP="00F00A48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Проектом бюджета ресурсное обеспечение программы на 2014 год предусмотрено за счет средств местного бюджета сумме 6051,8 тыс.руб. или 100%,  за счет средств областного бюджета  в сумме 35112,0 тыс.руб. или 100%  от объема, предусмотренного программой.</w:t>
      </w:r>
    </w:p>
    <w:p w:rsidR="005B7BD9" w:rsidRPr="00C15C66" w:rsidRDefault="005B7BD9" w:rsidP="00F00A48">
      <w:pPr>
        <w:ind w:firstLine="708"/>
        <w:jc w:val="both"/>
        <w:rPr>
          <w:sz w:val="16"/>
          <w:szCs w:val="16"/>
          <w:lang w:eastAsia="en-US"/>
        </w:rPr>
      </w:pPr>
    </w:p>
    <w:p w:rsidR="005B7BD9" w:rsidRPr="00C15C66" w:rsidRDefault="005B7BD9" w:rsidP="00F00A48">
      <w:pPr>
        <w:ind w:firstLine="708"/>
        <w:jc w:val="center"/>
        <w:rPr>
          <w:b/>
          <w:i/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11.Муниципальная программа «</w:t>
      </w:r>
      <w:r w:rsidRPr="00C15C66">
        <w:rPr>
          <w:b/>
          <w:sz w:val="22"/>
          <w:szCs w:val="22"/>
          <w:lang w:eastAsia="en-US"/>
        </w:rPr>
        <w:t>Транспортное обслуживание населения»</w:t>
      </w:r>
    </w:p>
    <w:p w:rsidR="005B7BD9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Общий планируемый объем финансирования  программы на 2014 -2018 годы  составляет  16712 тыс.рублей, в том числе за счет средств местного бюджета 4506,0 тыс.рублей, областного бюджета -10177,0 тыс.рублей, иные источники-2029,0 тыс.рублей. Ресурсное обеспечение программы на 2014 год предусмотрено за счет средств местного бюджета в объеме 27,0 тыс.рублей или 100%,  иные источники 47,0 тыс.руб. проектом бюджета не предусмотрены. </w:t>
      </w:r>
    </w:p>
    <w:p w:rsidR="005B7BD9" w:rsidRDefault="005B7BD9" w:rsidP="00C15C66">
      <w:pPr>
        <w:tabs>
          <w:tab w:val="left" w:pos="3390"/>
        </w:tabs>
        <w:ind w:firstLine="708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ab/>
      </w:r>
    </w:p>
    <w:p w:rsidR="005B7BD9" w:rsidRPr="00C15C66" w:rsidRDefault="005B7BD9" w:rsidP="00C15C66">
      <w:pPr>
        <w:tabs>
          <w:tab w:val="left" w:pos="3390"/>
        </w:tabs>
        <w:ind w:firstLine="708"/>
        <w:jc w:val="both"/>
        <w:rPr>
          <w:sz w:val="16"/>
          <w:szCs w:val="16"/>
          <w:lang w:eastAsia="en-US"/>
        </w:rPr>
      </w:pPr>
    </w:p>
    <w:p w:rsidR="005B7BD9" w:rsidRPr="00C15C66" w:rsidRDefault="005B7BD9" w:rsidP="00F00A48">
      <w:pPr>
        <w:ind w:firstLine="708"/>
        <w:jc w:val="center"/>
        <w:rPr>
          <w:b/>
          <w:i/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12.Муниципальная программа «</w:t>
      </w:r>
      <w:r w:rsidRPr="00C15C66">
        <w:rPr>
          <w:b/>
          <w:i/>
          <w:sz w:val="22"/>
          <w:szCs w:val="22"/>
          <w:lang w:eastAsia="en-US"/>
        </w:rPr>
        <w:t>Жилищно-коммунальное хозяйство»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Общий планируемый объем финансирования  программы на 2014 -2018 годы  составляет  320995,9 тыс.руб., в том числе за счет средств местного бюджета 94433,4 тыс.руб., областного бюджета 196526,5 тыс.руб., иных источников 30000,0 тыс.рублей. 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Ресурсное обеспечение программы на 2014 год предусмотрено за счет средств местного бюджета в сумме 12382,0 тыс.руб. или 80% от потребности (по программе 15382,0 тыс.руб.), за счет средств  областного бюджета 32,3 тыс.руб. или 0,08% (по программе 40440,3 тыс.руб.), иных источников в объеме 6000,0 тыс.руб. проектом бюджета не предусмотрено. 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Подпрограмма  «Чистая вода»:  ресурсное обеспечение составляет 3000,0 тыс.руб. или 60% (по программе 5000,0 тыс.руб.) за счет средств местного бюджета, средства  областного бюджета в объеме 20000,0 тыс.руб. и иные источники в объеме 3000,0 тыс.руб. проектом бюджета не предусмотрены.                   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Подпрограмма  «Модернизация объектов коммунальной инфраструктуры»: ресурсное обеспечение составляет 3000,0 тыс.руб. или 75% (по программе 4000,0 тыс.руб.) за счет средств местного бюджета, средства  областного бюджета в объеме 20000,0 тыс.руб. и иные источники в объеме 3000,0 тыс.руб. проектом бюджета не предусмотрены.                   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Подпрограмма  «Энергосбережение и повышение энергетической эффективности»: ресурсное обеспечение составляет 382,0 тыс.руб. или 100%  за счет средств местного бюджета, средства  областного бюджета  в объеме 408,0 тыс.руб. проектом бюджета не предусмотрены.                   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Подпрограмма «Благоустройство территории»: ресурсное обеспечение составляет  5600,0 тыс.руб. или 100% за счет средств местного бюджета.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Основное мероприятие «Осуществление государственных полномочий в области регулирования тарифов на услуги организаций коммунального комплекса»:ресурсное обеспечение составляет 32,3 тыс.руб. или 100%  за счет средств  областного бюджета.                   </w:t>
      </w:r>
    </w:p>
    <w:p w:rsidR="005B7BD9" w:rsidRDefault="005B7BD9" w:rsidP="00F00A48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Основное мероприятие «Содержание мест захоронения»: ресурсное обеспечение составляет 400,0 тыс.руб. или 100% за счет средств местного бюджета. </w:t>
      </w:r>
    </w:p>
    <w:p w:rsidR="005B7BD9" w:rsidRPr="00C15C66" w:rsidRDefault="005B7BD9" w:rsidP="00F00A48">
      <w:pPr>
        <w:ind w:firstLine="708"/>
        <w:jc w:val="both"/>
        <w:rPr>
          <w:sz w:val="16"/>
          <w:szCs w:val="16"/>
          <w:lang w:eastAsia="en-US"/>
        </w:rPr>
      </w:pPr>
    </w:p>
    <w:p w:rsidR="005B7BD9" w:rsidRPr="00C15C66" w:rsidRDefault="005B7BD9" w:rsidP="00F00A48">
      <w:pPr>
        <w:ind w:firstLine="708"/>
        <w:jc w:val="center"/>
        <w:rPr>
          <w:b/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13. Муниципальная программа </w:t>
      </w:r>
      <w:r w:rsidRPr="00C15C66">
        <w:rPr>
          <w:b/>
          <w:sz w:val="22"/>
          <w:szCs w:val="22"/>
          <w:lang w:eastAsia="en-US"/>
        </w:rPr>
        <w:t>«Охрана окружающей среды»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Общий планируемый объем финансирования  программы на 2014 -2018 годы  составляет  146436,7 тыс.руб., в том числе за счет средств местного бюджета 58965,9 тыс.руб., федерального бюджета 87470,8 тыс.рублей. </w:t>
      </w:r>
    </w:p>
    <w:p w:rsidR="005B7BD9" w:rsidRDefault="005B7BD9" w:rsidP="00F00A48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Ресурсное обеспечение программы на 2014 год предусмотрено за счет средств местного бюджета в объеме 4889,4 тыс.руб. или 100%, средства федерального бюджета проектом бюджета не предусмотрены.</w:t>
      </w:r>
    </w:p>
    <w:p w:rsidR="005B7BD9" w:rsidRPr="00C15C66" w:rsidRDefault="005B7BD9" w:rsidP="00F00A48">
      <w:pPr>
        <w:ind w:firstLine="708"/>
        <w:jc w:val="both"/>
        <w:rPr>
          <w:sz w:val="16"/>
          <w:szCs w:val="16"/>
          <w:lang w:eastAsia="en-US"/>
        </w:rPr>
      </w:pPr>
    </w:p>
    <w:p w:rsidR="005B7BD9" w:rsidRPr="00C15C66" w:rsidRDefault="005B7BD9" w:rsidP="00F00A48">
      <w:pPr>
        <w:ind w:firstLine="708"/>
        <w:jc w:val="center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14. Муниципальная программа «</w:t>
      </w:r>
      <w:r w:rsidRPr="00C15C66">
        <w:rPr>
          <w:b/>
          <w:sz w:val="22"/>
          <w:szCs w:val="22"/>
          <w:lang w:eastAsia="en-US"/>
        </w:rPr>
        <w:t>Городские дороги»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Общий планируемый объем финансирования программы на 2014-2018 годы составляет 165273,2 тыс.руб., в том числе средства местного бюджета 139715,0 тыс.руб., областного бюджета 25558,2 тыс.рублей. </w:t>
      </w:r>
    </w:p>
    <w:p w:rsidR="005B7BD9" w:rsidRDefault="005B7BD9" w:rsidP="00F00A48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Ресурсное обеспечение  программы на 2014 год предусмотрено за счет средств местного бюджета в объеме 26555,0 тыс.руб. или 100%.</w:t>
      </w:r>
    </w:p>
    <w:p w:rsidR="005B7BD9" w:rsidRPr="00C15C66" w:rsidRDefault="005B7BD9" w:rsidP="00F00A48">
      <w:pPr>
        <w:ind w:firstLine="708"/>
        <w:jc w:val="both"/>
        <w:rPr>
          <w:sz w:val="16"/>
          <w:szCs w:val="16"/>
          <w:lang w:eastAsia="en-US"/>
        </w:rPr>
      </w:pPr>
    </w:p>
    <w:p w:rsidR="005B7BD9" w:rsidRPr="00C15C66" w:rsidRDefault="005B7BD9" w:rsidP="00F00A48">
      <w:pPr>
        <w:ind w:firstLine="708"/>
        <w:jc w:val="center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15. Муниципальная программа  «</w:t>
      </w:r>
      <w:r w:rsidRPr="00C15C66">
        <w:rPr>
          <w:b/>
          <w:sz w:val="22"/>
          <w:szCs w:val="22"/>
          <w:lang w:eastAsia="en-US"/>
        </w:rPr>
        <w:t>Градостроительство»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Общий планируемый объем финансирования программы на 2014-2018 годы составляет 155791,8 тыс.руб., в том числе средства местного бюджета 14103,31 тыс.руб, областного бюджета 141688,49 тыс.рублей. 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Ресурсное обеспечение  программы на 2014 год предусмотрено за счет средств местного бюджета в объеме 2353,0 тыс.руб. или 76%.</w:t>
      </w:r>
    </w:p>
    <w:p w:rsidR="005B7BD9" w:rsidRDefault="005B7BD9" w:rsidP="00F00A48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Основное мероприятие «Планировка территорий»: ресурсное обеспечение составляет 250,0 тыс.руб. или 25% предусмотренных программой средств, за счет средств местного бюджета.</w:t>
      </w:r>
    </w:p>
    <w:p w:rsidR="005B7BD9" w:rsidRPr="00C15C66" w:rsidRDefault="005B7BD9" w:rsidP="00F00A48">
      <w:pPr>
        <w:ind w:firstLine="708"/>
        <w:jc w:val="both"/>
        <w:rPr>
          <w:sz w:val="22"/>
          <w:szCs w:val="22"/>
          <w:lang w:eastAsia="en-US"/>
        </w:rPr>
      </w:pPr>
    </w:p>
    <w:p w:rsidR="005B7BD9" w:rsidRPr="00C15C66" w:rsidRDefault="005B7BD9" w:rsidP="00C15C66">
      <w:pPr>
        <w:jc w:val="center"/>
        <w:rPr>
          <w:b/>
          <w:sz w:val="22"/>
          <w:szCs w:val="22"/>
        </w:rPr>
      </w:pPr>
      <w:r w:rsidRPr="00C15C66">
        <w:rPr>
          <w:b/>
          <w:sz w:val="22"/>
          <w:szCs w:val="22"/>
        </w:rPr>
        <w:t>4.2  Анализ непрограммных  направлений деятельности в структуре местного бюджета</w:t>
      </w:r>
    </w:p>
    <w:p w:rsidR="005B7BD9" w:rsidRPr="00C15C66" w:rsidRDefault="005B7BD9" w:rsidP="0090630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         Анализ бюджетных ассигнований  на непрограммные направления деятельности, указанных в приложении №7 к проекту решения о  бюджете  в объеме </w:t>
      </w:r>
      <w:r w:rsidRPr="00C15C66">
        <w:rPr>
          <w:b/>
          <w:sz w:val="22"/>
          <w:szCs w:val="22"/>
        </w:rPr>
        <w:t>84 551,6</w:t>
      </w:r>
      <w:r w:rsidRPr="00C15C66">
        <w:rPr>
          <w:sz w:val="22"/>
          <w:szCs w:val="22"/>
        </w:rPr>
        <w:t xml:space="preserve"> тыс.руб. по разделам, подразделам, целевым статьям и видам расходов классификации расходов бюджета на 2014 год,   показал следующее: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 В состав бюджетных ассигнований  непрограммных направлений деятельности включены  следующие расходы: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>а) на обеспечение деятельности главы муниципального образования - 1945,0 тыс.руб.;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            б) на функционирование  местных администраций  - 68323,5 тыс.руб.;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             в)на функционирование представительного  органа муниципального образования -  5170,4 тыс.руб;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>г) на обеспечение деятельности финансовых, налоговых и таможенных органов и органов финансового надзора – 3009,2 тыс.руб.;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            д) на проведение  выборов и референдумов – 2728,5 тыс.руб.;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             е) на  другие  общегосударственные вопросы – 2085,5тыс.руб</w:t>
      </w:r>
    </w:p>
    <w:p w:rsidR="005B7BD9" w:rsidRPr="00C15C66" w:rsidRDefault="005B7BD9" w:rsidP="009615B5">
      <w:pPr>
        <w:ind w:left="708"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>(расшифровку см. ниже);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>ж)  на профессиональную подготовку кадров – 120,0 тыс.руб.;</w:t>
      </w:r>
    </w:p>
    <w:p w:rsidR="005B7BD9" w:rsidRPr="00C15C66" w:rsidRDefault="005B7BD9" w:rsidP="00F00A48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ab/>
        <w:t xml:space="preserve"> з) на обеспечение деятельности  муниципальных учреждений периодической печати -1169,4 тыс.рублей.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</w:rPr>
      </w:pPr>
      <w:r w:rsidRPr="00C15C66">
        <w:rPr>
          <w:b/>
          <w:sz w:val="22"/>
          <w:szCs w:val="22"/>
          <w:u w:val="single"/>
        </w:rPr>
        <w:t>Расходы на общегосударственные  вопросы</w:t>
      </w:r>
      <w:r w:rsidRPr="00C15C66">
        <w:rPr>
          <w:sz w:val="22"/>
          <w:szCs w:val="22"/>
        </w:rPr>
        <w:t xml:space="preserve"> запланированы в объеме  93885,9 тыс.руб.,  в сравнении с действующей редакцией местного бюджета на 2013 год расходы увеличены на 15095,0 тыс.рублей.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>При подготовке проекта бюджета на 2014 год не учтена индексация должностных окладов муниципальных служащих  в 1,055 разав соответствии с Указом Губернатора Иркутской области,   так же индексация должностных окладов не учтена при формировании бюджета на плановый период 2015 и 2016 годов  в соответствии с уровнем инфляции (5%), утвержденным федеральным бюджетом на 2014 год.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          По подразделу </w:t>
      </w:r>
      <w:r w:rsidRPr="00C15C66">
        <w:rPr>
          <w:b/>
          <w:sz w:val="22"/>
          <w:szCs w:val="22"/>
        </w:rPr>
        <w:t>0103 «Функционирование законодательных (представительных) органов государственной власти и представительных  органов муниципальных образований</w:t>
      </w:r>
      <w:r w:rsidRPr="00C15C66">
        <w:rPr>
          <w:sz w:val="22"/>
          <w:szCs w:val="22"/>
        </w:rPr>
        <w:t>»  расходы предусмотрены  в объеме 5170,4 тыс.руб., увеличены на 537 тыс. рублей.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         По подразделу  </w:t>
      </w:r>
      <w:r w:rsidRPr="00C15C66">
        <w:rPr>
          <w:b/>
          <w:sz w:val="22"/>
          <w:szCs w:val="22"/>
        </w:rPr>
        <w:t>0104  «Функционирование  Правительства РФ, высших исполнительных органов государственной власти  субъектов РФ, местных администраций»</w:t>
      </w:r>
      <w:r w:rsidRPr="00C15C66">
        <w:rPr>
          <w:sz w:val="22"/>
          <w:szCs w:val="22"/>
        </w:rPr>
        <w:t xml:space="preserve">расходы завышены.  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ab/>
        <w:t xml:space="preserve">Численность   муниципальных служащихисполнительного органа (администрации городского округа) превышает установленный норматив согласно Методике, утвержденной  приказом Минтруда и занятости Иркутской области от 14.10.2013 № 57-мпр, на 2   штатных единицы. </w:t>
      </w:r>
    </w:p>
    <w:p w:rsidR="005B7BD9" w:rsidRPr="00C15C66" w:rsidRDefault="005B7BD9" w:rsidP="00B9289C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ab/>
        <w:t>Дополнительная  численность  вспомогательного персонала (рабочих) администрации городского округа рассчитана не верно, так как   структурные подразделения администрации города располагаются не взданиях, а в отдельных помещениях зданий, которые оборудованы автоматической сигнализацией и соответственно нет потребности в сторожах, также нет необходимости в уборке территории возле здания, где расположено помещение.Соответственно дополнительная численность вспомогательного персонала (рабочих) должна составить 4 единицы уборщиков служебных помещений согласно площади дополнительных помещений, основная численность составляет 8 штатных единиц, всего численность вспомогательного персонала должна составлять 12 штатных единиц. Кроме того, следует отметить, что  ставка уборщика служебных помещений,  в которых располагается  Дума городского округа,  так же должна входить в данный норматив.</w:t>
      </w:r>
    </w:p>
    <w:p w:rsidR="005B7BD9" w:rsidRPr="00C15C66" w:rsidRDefault="005B7BD9" w:rsidP="001620B2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ab/>
        <w:t xml:space="preserve">Администрацией города необоснованно введено дополнительно еще 7 штатных единиц вспомогательного персонала (рабочих) с соответствующим ФОТ, часть из которых переведена в технические исполнители, часть в диспетчерскую службу. </w:t>
      </w:r>
    </w:p>
    <w:p w:rsidR="005B7BD9" w:rsidRPr="00C15C66" w:rsidRDefault="005B7BD9" w:rsidP="001620B2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ab/>
        <w:t xml:space="preserve">По факту в администрации городского округа за счет средств местного бюджета содержится 78 штатных единиц муниципальных служащих, 16 штатных единиц технических исполнителей,11 штатных единиц вспомогательного персонала  (в т.ч. 5 единиц водителей, 5 единиц уборщиков служебных помещений, 1 единица  рабочего),4 штатных единицы диспетчерской службы, всего (без учета главы муниципального образования) 109 штатных единиц (примечание: по сравнению с 2011 годом численность увеличилась на 9 штатных  единиц !). 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ab/>
        <w:t xml:space="preserve">По подразделу </w:t>
      </w:r>
      <w:r w:rsidRPr="00C15C66">
        <w:rPr>
          <w:b/>
          <w:sz w:val="22"/>
          <w:szCs w:val="22"/>
        </w:rPr>
        <w:t>0106</w:t>
      </w:r>
      <w:r w:rsidRPr="00C15C66">
        <w:rPr>
          <w:sz w:val="22"/>
          <w:szCs w:val="22"/>
        </w:rPr>
        <w:t xml:space="preserve"> «Обеспечение деятельности финансовых, налоговых и таможенных органов и органов финансового надзора» расходы запланированы в бюджете в объеме 3009,2 тыс. рублей. Главный распорядитель бюджетных средств - Дума города Тулуна представила в установленный срок  расчет, соответствующий утвержденной Методике, на сумму  4318,0 тыс.рублей. В нарушении статьи 158 БК РФ, Методики   формирования бюджета, финансовый орган  принял расчет  от консультанта  отдела экономики и планирования администрации города, чем нарушил права  ГРБС, определенные бюджетным законодательством.  Бюджетные ассигнования занижены по ГРБС – Дума города Тулуна  на 1309,0 тыс.руб. на содержание муниципальных служащих КСП.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ab/>
        <w:t xml:space="preserve">По подразделу </w:t>
      </w:r>
      <w:r w:rsidRPr="00C15C66">
        <w:rPr>
          <w:b/>
          <w:sz w:val="22"/>
          <w:szCs w:val="22"/>
        </w:rPr>
        <w:t xml:space="preserve">0107 </w:t>
      </w:r>
      <w:r w:rsidRPr="00C15C66">
        <w:rPr>
          <w:sz w:val="22"/>
          <w:szCs w:val="22"/>
        </w:rPr>
        <w:t>«Обеспечение  проведение  выборов и референдумов»  запланированы расходы в сумме  2728,5 тыс. рублей.</w:t>
      </w:r>
    </w:p>
    <w:p w:rsidR="005B7BD9" w:rsidRPr="00C15C66" w:rsidRDefault="005B7BD9" w:rsidP="00587244">
      <w:pPr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</w:rPr>
        <w:tab/>
        <w:t xml:space="preserve">По  подразделу </w:t>
      </w:r>
      <w:r w:rsidRPr="00C15C66">
        <w:rPr>
          <w:b/>
          <w:sz w:val="22"/>
          <w:szCs w:val="22"/>
        </w:rPr>
        <w:t xml:space="preserve">0113 </w:t>
      </w:r>
      <w:r w:rsidRPr="00C15C66">
        <w:rPr>
          <w:sz w:val="22"/>
          <w:szCs w:val="22"/>
        </w:rPr>
        <w:t xml:space="preserve">«Другие общегосударственные вопросы» </w:t>
      </w:r>
      <w:r w:rsidRPr="00C15C66">
        <w:rPr>
          <w:sz w:val="22"/>
          <w:szCs w:val="22"/>
          <w:lang w:eastAsia="en-US"/>
        </w:rPr>
        <w:t xml:space="preserve"> администрации городского округа предусмотрены  непрограммные расходы в сумме 1803,9 тыс.руб., из них:на оплату  информации в газете «Земля Тулунская» по договору с ООО «ЛГ Вест» в сумме 300,0 тыс.руб.; 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на оплату телевизионной программы «Пульс города» по договору с ООО «Тулунское телевидение» в сумме 360,0 тыс.руб.;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на оплату  по исполнительному листу по иску Гоменюк П.В. к администрации городского округа в сумме 654,1 тыс. рублей.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Считаем, что указанные расходы в сумме </w:t>
      </w:r>
      <w:r w:rsidRPr="00C15C66">
        <w:rPr>
          <w:b/>
          <w:sz w:val="22"/>
          <w:szCs w:val="22"/>
          <w:lang w:eastAsia="en-US"/>
        </w:rPr>
        <w:t xml:space="preserve">1314,1 тыс. руб. </w:t>
      </w:r>
      <w:r w:rsidRPr="00C15C66">
        <w:rPr>
          <w:sz w:val="22"/>
          <w:szCs w:val="22"/>
          <w:lang w:eastAsia="en-US"/>
        </w:rPr>
        <w:t>необходимо исключить из расходной части бюджета по следующим основаниям: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1) В связи с тем, что администрация городского округа является учредителем официального печатного издания – газеты  «Тулунский вестник» (примечание: на содержание редакции и печать газеты «Тулунский вестник» в бюджете на 2014 год предусмотрены средства в сумме 1169,4 тыс. руб.), имеет возможность освещать свою деятельность в данном печатном издании, а также имеет официальный сайт в сети интернет, расходы на освещение деятельности  в коммерческом печатном издании – газете «Земля Тулунская», а также   оплата телевизионной программы «Пульс города» в общей сумме </w:t>
      </w:r>
      <w:r w:rsidRPr="00C15C66">
        <w:rPr>
          <w:b/>
          <w:sz w:val="22"/>
          <w:szCs w:val="22"/>
          <w:lang w:eastAsia="en-US"/>
        </w:rPr>
        <w:t>660 тыс.рублей являются неэффективными расходами бюджетных средств</w:t>
      </w:r>
      <w:r w:rsidRPr="00C15C66">
        <w:rPr>
          <w:sz w:val="22"/>
          <w:szCs w:val="22"/>
          <w:lang w:eastAsia="en-US"/>
        </w:rPr>
        <w:t xml:space="preserve"> и недопустимы при недостаточности средств на реализацию муниципальных программ.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2) В связи с изданием незаконного постановления мэра городского округа от 05.03.2007г № 268 «О внесении изменения в постановление мэра города от 27.06.2003г № 883 «О передаче жилищного фонда ОАО  «Востсибуголь» в муниципальную собственность города Тулуна»   36-квартирный жилой дом по ул.Снежной, 2А был исключен из объектов социальной сферы, передаваемых на безвозмездной основе мэрии г.Тулуна. 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Контрольно-счетной палатой г.Тулуна было подготовлено аудиторское заключение от 03.09.2007г № 14/1-з по факту издания незаконного постановления с требованием об его отмене, однако администрацией городского округа незаконное постановление отменено не было.  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На основании незаконного постановления мэра города № 268 от 05.03.2007г  ОАО «ВостокСибПром»   зарегистрировало право собственности на квартиры №№ 51,60 по ул.Снежная, 2а и продало их в сентябре 2011 года  по цене  675,0 тыс.руб.(кв.№ 51, покупатель Хворостянко В.В.) и 635,0 тыс.руб. (кв.60, покупатель Гоменюк П.В.).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Решением Тулунского городского суда от 01.12.2009г постановление мэра № 268 от 05.03.2007г  признано не соответствующим законодательству. Этим же решением договор купли-продажи  квартиры  между гр.Гоменюк П.В. и ОАО «ВостокСибПром» признан ничтожным. ОАО «ВостокСибПром» прекратило свое существование в связи с ликвидацией.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В связи с изданием  не соответствующего закону акта органа местного самоуправления – постановления мэра  № 268 от 05.03.2007г   Тулунским городским судом 13.03.2013г было вынесено решение о взыскании с муниципального образования – «город Тулун» в лице МУ «Администрация города Тулуна»  в пользу Гоменюк П.В. убытков в сумме 635,0 тыс.руб. и расходов по уплате госпошлины в сумме 9,5 тыс.руб., </w:t>
      </w:r>
      <w:r w:rsidRPr="00C15C66">
        <w:rPr>
          <w:b/>
          <w:sz w:val="22"/>
          <w:szCs w:val="22"/>
          <w:lang w:eastAsia="en-US"/>
        </w:rPr>
        <w:t>всего в сумме  644,5 тыс.рублей.</w:t>
      </w:r>
      <w:r w:rsidRPr="00C15C66">
        <w:rPr>
          <w:sz w:val="22"/>
          <w:szCs w:val="22"/>
          <w:lang w:eastAsia="en-US"/>
        </w:rPr>
        <w:t xml:space="preserve"> Решение вступило в законную силу 15.08.2013 года. 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Аналогичное решение Тулунского городского суда было вынесено 29.10.2012г в пользу Хворостянко В.В. Средства в сумме 681,0 тыс.руб., в т.ч. возмещение вреда 675,0 тыс.руб., госпошлина 6,0 тыс.руб. были выплачены Хворостянко В.В. администрацией городского округа в июле 2013 года  за счет внутренней экономии средств по главному распорядителю МУ «Администрация города Тулуна» (за счет экономии по подразделу 0102).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В соответствии с действующим законодательством РФ убытки, причиненные гражданину или юридическому лицу в результате незаконных действий органов местного самоуправления или должностных лиц этих органов, в том числе издания не соответствующего закону или иному правовому акту акта органа местного самоуправления, подлежат возмещению муниципальным образованием.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В тоже время лица, виновные в принятии  незаконных правовых актов, могут быть привлечены к дисциплинарной, административной или уголовной ответственности.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В связи с принятием мэром города Тулуна незаконного  постановления   № 268 от 05.03.2007г   </w:t>
      </w:r>
      <w:r w:rsidRPr="00C15C66">
        <w:rPr>
          <w:b/>
          <w:sz w:val="22"/>
          <w:szCs w:val="22"/>
          <w:lang w:eastAsia="en-US"/>
        </w:rPr>
        <w:t xml:space="preserve">бюджету города Тулуна был причиненущерб в сумме более 1,3 млн.рублей. </w:t>
      </w:r>
      <w:r w:rsidRPr="00C15C66">
        <w:rPr>
          <w:sz w:val="22"/>
          <w:szCs w:val="22"/>
          <w:lang w:eastAsia="en-US"/>
        </w:rPr>
        <w:t>При этом должностные лица администрации городского округа, причастные к принятию незаконного коррупционного постановления, к ответственности не привлечены.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Считаем, что </w:t>
      </w:r>
      <w:r w:rsidRPr="00C15C66">
        <w:rPr>
          <w:b/>
          <w:sz w:val="22"/>
          <w:szCs w:val="22"/>
          <w:lang w:eastAsia="en-US"/>
        </w:rPr>
        <w:t>расходы в сумме 654,1 тыс.руб.</w:t>
      </w:r>
      <w:r w:rsidRPr="00C15C66">
        <w:rPr>
          <w:sz w:val="22"/>
          <w:szCs w:val="22"/>
          <w:lang w:eastAsia="en-US"/>
        </w:rPr>
        <w:t xml:space="preserve"> на оплату  исполнительного листа по иску Гоменюк П.В. </w:t>
      </w:r>
      <w:r w:rsidRPr="00C15C66">
        <w:rPr>
          <w:b/>
          <w:sz w:val="22"/>
          <w:szCs w:val="22"/>
          <w:lang w:eastAsia="en-US"/>
        </w:rPr>
        <w:t>необходимо исключить из расходной части бюджета</w:t>
      </w:r>
      <w:r w:rsidRPr="00C15C66">
        <w:rPr>
          <w:sz w:val="22"/>
          <w:szCs w:val="22"/>
          <w:lang w:eastAsia="en-US"/>
        </w:rPr>
        <w:t xml:space="preserve">, оплату по исполнительному листу произвести за счет  внутренней экономии средств по главному распорядителю – МУ «Администрация города Тулуна». </w:t>
      </w:r>
    </w:p>
    <w:p w:rsidR="005B7BD9" w:rsidRPr="00C15C66" w:rsidRDefault="005B7BD9" w:rsidP="00587244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>Думе городского округа по подразделу  0113 предусмотрены ассигнования на 2014 год на  обеспечение деятельности депутатов Думы города  в сумме 281,6 тыс.рублей.</w:t>
      </w:r>
    </w:p>
    <w:p w:rsidR="005B7BD9" w:rsidRDefault="005B7BD9" w:rsidP="00C15C66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ab/>
        <w:t xml:space="preserve"> При сопоставлении показателей бюджетных ассигнований  на непрограммные мероприятия, отраженные в приложении № 7  и приложении №9, установлено, что по  целевым статьям расходов(КЦСР) 30.0.00.00  в приложении №9  «ведомственная структура расходов местного бюджета»   итоговая сумма </w:t>
      </w:r>
      <w:r w:rsidRPr="00C15C66">
        <w:rPr>
          <w:b/>
          <w:sz w:val="22"/>
          <w:szCs w:val="22"/>
        </w:rPr>
        <w:t>составляет 83 382,2 тыс.руб</w:t>
      </w:r>
      <w:r w:rsidRPr="00C15C66">
        <w:rPr>
          <w:sz w:val="22"/>
          <w:szCs w:val="22"/>
        </w:rPr>
        <w:t xml:space="preserve">.,  отклонения от общего итога  программных и непрограммных мероприятий составляет </w:t>
      </w:r>
      <w:r w:rsidRPr="00C15C66">
        <w:rPr>
          <w:b/>
          <w:sz w:val="22"/>
          <w:szCs w:val="22"/>
        </w:rPr>
        <w:t>1169, 4 тыс.рублей.</w:t>
      </w:r>
      <w:r w:rsidRPr="00C15C66">
        <w:rPr>
          <w:sz w:val="22"/>
          <w:szCs w:val="22"/>
        </w:rPr>
        <w:tab/>
      </w:r>
    </w:p>
    <w:p w:rsidR="005B7BD9" w:rsidRPr="00C15C66" w:rsidRDefault="005B7BD9" w:rsidP="00C15C66">
      <w:pPr>
        <w:jc w:val="center"/>
        <w:rPr>
          <w:b/>
          <w:sz w:val="22"/>
          <w:szCs w:val="22"/>
          <w:lang w:eastAsia="en-US"/>
        </w:rPr>
      </w:pPr>
      <w:r w:rsidRPr="00C15C66">
        <w:rPr>
          <w:b/>
          <w:sz w:val="22"/>
          <w:szCs w:val="22"/>
          <w:lang w:eastAsia="en-US"/>
        </w:rPr>
        <w:t>4.3   Дорожный фонд муниципального образования – «город Тулун»</w:t>
      </w:r>
    </w:p>
    <w:p w:rsidR="005B7BD9" w:rsidRPr="00C15C66" w:rsidRDefault="005B7BD9" w:rsidP="000B4619">
      <w:pPr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ab/>
        <w:t>Дорожный фонд  муниципального образования – «город Тулун» создан в соответствии с решением Думы городского округа от 14.11.2013г № 24-ДГО. Источниками муниципального дорожного фонда являются  акцизы  на реализацию нефтепродуктов, подлежащие зачислению в местный бюджет, поступления по единому налогу на вмененный доход для отдельных видов деятельности (70  %), субсидии и иные межбюджетные трансферты из областного бюджета  на финансовое обеспечение дорожной деятельности, безвозмездные поступления от физических и юридических лиц.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Объем доходов дорожного фонда на 2014 год  составит </w:t>
      </w:r>
      <w:r w:rsidRPr="00C15C66">
        <w:rPr>
          <w:b/>
          <w:sz w:val="22"/>
          <w:szCs w:val="22"/>
          <w:lang w:eastAsia="en-US"/>
        </w:rPr>
        <w:t>26554,5</w:t>
      </w:r>
      <w:r w:rsidRPr="00C15C66">
        <w:rPr>
          <w:sz w:val="22"/>
          <w:szCs w:val="22"/>
          <w:lang w:eastAsia="en-US"/>
        </w:rPr>
        <w:t xml:space="preserve"> тыс.руб., в т.ч. за счет поступления акцизов на реализацию нефтепродуктов (бензин, дизтопливо, моторные масла) 9555,0 тыс.руб., единого налога на вмененный доход  для отдельных видов деятельности (70 %) 16999,5 тыс.рублей.  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ab/>
        <w:t xml:space="preserve">Расходование средств дорожного фонда  будет осуществляться в рамках  реализации мероприятий, предусмотренных муниципальной программой «Городские дороги» всего в сумме </w:t>
      </w:r>
      <w:r w:rsidRPr="00C15C66">
        <w:rPr>
          <w:b/>
          <w:sz w:val="22"/>
          <w:szCs w:val="22"/>
          <w:lang w:eastAsia="en-US"/>
        </w:rPr>
        <w:t>26555,0</w:t>
      </w:r>
      <w:r w:rsidRPr="00C15C66">
        <w:rPr>
          <w:sz w:val="22"/>
          <w:szCs w:val="22"/>
          <w:lang w:eastAsia="en-US"/>
        </w:rPr>
        <w:t xml:space="preserve"> тыс.руб., в т.ч. 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 - летнее содержание дорог 7000,0 тыс.руб. (в т.ч. нанесение дорожной разметки 500,0 тыс.руб., установка дорожных знаков 500,0 тыс.руб., установка и содержание остановочных павильонов  100,0 тыс.руб.); 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 xml:space="preserve">- зимнее содержание дорог 8000,0  тыс.руб.; 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- разработка проектно-сметной документации 1000,0 тыс.руб.;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- регистрация права собственности на автомобильные дороги общего пользования 555 тыс.руб.;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- ремонт автомобильных дорог 7000,0 тыс.руб.;</w:t>
      </w:r>
    </w:p>
    <w:p w:rsidR="005B7BD9" w:rsidRDefault="005B7BD9" w:rsidP="00C15C66">
      <w:pPr>
        <w:tabs>
          <w:tab w:val="left" w:pos="7110"/>
        </w:tabs>
        <w:ind w:firstLine="708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- капитальный ремонт дворовых территорий 3000,0 тыс.рублей.</w:t>
      </w:r>
      <w:r>
        <w:rPr>
          <w:sz w:val="22"/>
          <w:szCs w:val="22"/>
          <w:lang w:eastAsia="en-US"/>
        </w:rPr>
        <w:tab/>
      </w:r>
    </w:p>
    <w:p w:rsidR="005B7BD9" w:rsidRPr="00C15C66" w:rsidRDefault="005B7BD9" w:rsidP="00C15C66">
      <w:pPr>
        <w:tabs>
          <w:tab w:val="left" w:pos="7110"/>
        </w:tabs>
        <w:ind w:firstLine="708"/>
        <w:jc w:val="center"/>
        <w:rPr>
          <w:sz w:val="16"/>
          <w:szCs w:val="16"/>
          <w:lang w:eastAsia="en-US"/>
        </w:rPr>
      </w:pPr>
    </w:p>
    <w:p w:rsidR="005B7BD9" w:rsidRPr="00C15C66" w:rsidRDefault="005B7BD9" w:rsidP="00F00A48">
      <w:pPr>
        <w:jc w:val="center"/>
        <w:rPr>
          <w:sz w:val="22"/>
          <w:szCs w:val="22"/>
        </w:rPr>
      </w:pPr>
      <w:r w:rsidRPr="00C15C66">
        <w:rPr>
          <w:b/>
          <w:sz w:val="22"/>
          <w:szCs w:val="22"/>
        </w:rPr>
        <w:t>5. Выводы  и  рекомендации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5.1. В связи с тем, что  доходная и расходная часть бюджета не соответствуют принципу полноты отражения доходов, расходов  и источников финансирования дефицита местного бюджета, установленному статьей 32 БК РФ, которым предусмотрено,  что все доходы и расходы в обязательном порядке и в полном объеме отражаются в соответствующих бюджетах,  данный проект решения Думы о бюджете на 2014 год и на плановый период 2015 и 2016 годов,  не рекомендуется к принятию представительным органом, а значит,  проект решения  подлежит корректировке.   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>5.2. Анализ основных параметров бюджета   показал на ряд  нарушений требований  бюджетного законодательства, которые необходимо привести в соответствие с действующими нормами БК РФ.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>5.3 Согласно  части 2 ст.157 Бюджетного кодекса РФ, части 2 статьи 9 Федерального закона «Об общих принципах организации и деятельности контрольно-счетных органов субъектов РФ и муниципальных образований»,  КСП обязана проводить экспертизу проектов целевых программ до их утверждения.  Для обеспечения  соблюдения требований  федерального законодательства Администрации городского округа необходимо внести изменения в  нормативно правовые акты, регламентирующие принятие МЦП.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>5.4 Бюджет на 2014 год и на плановый период 2015-2016 годов сформирован  с предельным уровнем дефицита, что в первую очередь противоречит основным направлениям бюджетной и налоговой политики муниципального образования – «город Тулун»,которые утверждены  постановлением администрации городского округа от30.09.2013г  № 1832.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         Руководствуясь нормами бюджетного законодательства,  статьей 157 БК РФ в части проведения экспертизы проекта решения ДГО  о бюджете муниципального образования – город Тулун, Положением о  Контрольно-счетной палате города Тулуна, КСП г.Тулуна</w:t>
      </w:r>
    </w:p>
    <w:p w:rsidR="005B7BD9" w:rsidRPr="00C15C66" w:rsidRDefault="005B7BD9" w:rsidP="00F00A48">
      <w:pPr>
        <w:ind w:firstLine="708"/>
        <w:jc w:val="center"/>
        <w:rPr>
          <w:b/>
          <w:sz w:val="22"/>
          <w:szCs w:val="22"/>
        </w:rPr>
      </w:pPr>
      <w:r w:rsidRPr="00C15C66">
        <w:rPr>
          <w:b/>
          <w:sz w:val="22"/>
          <w:szCs w:val="22"/>
        </w:rPr>
        <w:t>РЕКОМЕНДУЕТ:</w:t>
      </w:r>
    </w:p>
    <w:p w:rsidR="005B7BD9" w:rsidRPr="00C15C66" w:rsidRDefault="005B7BD9" w:rsidP="000B4619">
      <w:pPr>
        <w:ind w:firstLine="708"/>
        <w:jc w:val="both"/>
        <w:rPr>
          <w:b/>
          <w:i/>
          <w:sz w:val="22"/>
          <w:szCs w:val="22"/>
        </w:rPr>
      </w:pPr>
      <w:r w:rsidRPr="00C15C66">
        <w:rPr>
          <w:b/>
          <w:i/>
          <w:sz w:val="22"/>
          <w:szCs w:val="22"/>
        </w:rPr>
        <w:t xml:space="preserve">Депутатам Думы городского округа 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 xml:space="preserve">По мнению Контрольно-счетной палаты г.Тулуна отдельные нормы проекта решения Думы города  «О бюджете муниципального образования – «город Тулун» на 2014 год и на плановый период 2015 и 2016 годов»  противоречат  требованиям бюджетного законодательства, в связи с чем целесообразно направить проект в Администрацию городского округа на устранение замечаний,  указанных в настоящем заключении, и его доработку. </w:t>
      </w:r>
    </w:p>
    <w:p w:rsidR="005B7BD9" w:rsidRPr="00C15C66" w:rsidRDefault="005B7BD9" w:rsidP="000B4619">
      <w:pPr>
        <w:ind w:firstLine="708"/>
        <w:jc w:val="both"/>
        <w:rPr>
          <w:sz w:val="22"/>
          <w:szCs w:val="22"/>
        </w:rPr>
      </w:pPr>
      <w:r w:rsidRPr="00C15C66">
        <w:rPr>
          <w:sz w:val="22"/>
          <w:szCs w:val="22"/>
        </w:rPr>
        <w:t>Кроме того, рекомендуем признать утратившими силу с 01.01.2014г  следующие решения Думы города:</w:t>
      </w:r>
    </w:p>
    <w:p w:rsidR="005B7BD9" w:rsidRPr="00C15C66" w:rsidRDefault="005B7BD9" w:rsidP="008D1AE1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от 29.08.2007г № 82-ДГО «Об утверждении муниципальной целевой программы «Переселение граждан из ветхого и аварийного жилищного  фонда в муниципальном образовании – «город Тулун» на 2007-2010гг»;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от 02.07.2008г № 38-ДГО «О внесении изменений в муниципальную целевую программу «Переселение граждан из ветхого и аварийного жилищного  фонда в муниципальном образовании – «город Тулун» на 2007-2010гг»;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от 01.03.2010г № 06-ДГО «О внесении изменений в муниципальную целевую программу «Переселение граждан из ветхого и аварийного жилищного  фонда в муниципальном образовании – «город Тулун» на 2007-2010гг»;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от 09.08.2010г № 35-ДГО «О внесении изменений в муниципальную целевую программу «Переселение граждан из ветхого и аварийного жилищного  фонда в муниципальном образовании – «город Тулун» на 2007-2019гг»;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от 30.12.2010г № 72-ДГО «О внесении изменений в муниципальную целевую программу «Переселение граждан из ветхого и аварийного жилищного  фонда в муниципальном образовании – «город Тулун» на 2007-2019гг»;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от 30.06.2011г № 29-ДГО «О внесении изменений в муниципальную целевую программу «Переселение граждан из ветхого и аварийного жилищного  фонда в муниципальном образовании – «город Тулун» на 2007-2019гг»;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от 17.10.2011г № 50-ДГО «О внесении изменений в муниципальную целевую программу «Переселение граждан из ветхого и аварийного жилищного  фонда в муниципальном образовании – «город Тулун» на 2007-2019гг»;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от 07.12.2011г № 61-ДГО «О внесении изменений в муниципальную целевую программу «Переселение граждан из ветхого и аварийного жилищного  фонда в муниципальном образовании – «город Тулун» на 2007-2019гг»;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от 11.03.2012г № 02-ДГО «О внесении изменений в муниципальную целевую программу «Переселение граждан из ветхого и аварийного жилищного  фонда в муниципальном образовании – «город Тулун» на 2007-2019гг»;</w:t>
      </w:r>
    </w:p>
    <w:p w:rsidR="005B7BD9" w:rsidRPr="00C15C66" w:rsidRDefault="005B7BD9" w:rsidP="000B4619">
      <w:pPr>
        <w:ind w:firstLine="709"/>
        <w:jc w:val="both"/>
        <w:rPr>
          <w:sz w:val="22"/>
          <w:szCs w:val="22"/>
          <w:lang w:eastAsia="en-US"/>
        </w:rPr>
      </w:pPr>
      <w:r w:rsidRPr="00C15C66">
        <w:rPr>
          <w:sz w:val="22"/>
          <w:szCs w:val="22"/>
          <w:lang w:eastAsia="en-US"/>
        </w:rPr>
        <w:t>от 02.04.2012г № 07-ДГО «О внесении изменений в муниципальную целевую программу «Переселение граждан из ветхого и аварийного жилищного  фонда в муниципальном образовании – «город Тулун» на 2007-2019гг».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</w:p>
    <w:p w:rsidR="005B7BD9" w:rsidRPr="00C15C66" w:rsidRDefault="005B7BD9" w:rsidP="000B4619">
      <w:pPr>
        <w:jc w:val="both"/>
        <w:rPr>
          <w:sz w:val="22"/>
          <w:szCs w:val="22"/>
        </w:rPr>
      </w:pPr>
    </w:p>
    <w:p w:rsidR="005B7BD9" w:rsidRPr="00C15C66" w:rsidRDefault="005B7BD9" w:rsidP="00C15C66">
      <w:pPr>
        <w:tabs>
          <w:tab w:val="left" w:pos="17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>Председатель Контрольно-</w:t>
      </w:r>
    </w:p>
    <w:p w:rsidR="005B7BD9" w:rsidRPr="00C15C66" w:rsidRDefault="005B7BD9" w:rsidP="000B4619">
      <w:pPr>
        <w:jc w:val="both"/>
        <w:rPr>
          <w:sz w:val="22"/>
          <w:szCs w:val="22"/>
        </w:rPr>
      </w:pPr>
      <w:r w:rsidRPr="00C15C66">
        <w:rPr>
          <w:sz w:val="22"/>
          <w:szCs w:val="22"/>
        </w:rPr>
        <w:t>счетной палаты  г.Тулуна                                                                                Е.В. Новикевич</w:t>
      </w:r>
    </w:p>
    <w:p w:rsidR="005B7BD9" w:rsidRDefault="005B7BD9" w:rsidP="000B4619">
      <w:pPr>
        <w:jc w:val="both"/>
        <w:rPr>
          <w:b/>
        </w:rPr>
      </w:pPr>
    </w:p>
    <w:p w:rsidR="005B7BD9" w:rsidRDefault="005B7BD9" w:rsidP="000B4619">
      <w:pPr>
        <w:ind w:firstLine="709"/>
        <w:jc w:val="both"/>
        <w:rPr>
          <w:lang w:eastAsia="en-US"/>
        </w:rPr>
      </w:pPr>
    </w:p>
    <w:p w:rsidR="005B7BD9" w:rsidRDefault="005B7BD9" w:rsidP="00127BA5">
      <w:pPr>
        <w:ind w:firstLine="708"/>
        <w:jc w:val="both"/>
      </w:pPr>
    </w:p>
    <w:sectPr w:rsidR="005B7BD9" w:rsidSect="00F00A48">
      <w:footerReference w:type="default" r:id="rId7"/>
      <w:pgSz w:w="11906" w:h="16838"/>
      <w:pgMar w:top="360" w:right="386" w:bottom="180" w:left="540" w:header="34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BD9" w:rsidRDefault="005B7BD9" w:rsidP="003F1F64">
      <w:r>
        <w:separator/>
      </w:r>
    </w:p>
  </w:endnote>
  <w:endnote w:type="continuationSeparator" w:id="1">
    <w:p w:rsidR="005B7BD9" w:rsidRDefault="005B7BD9" w:rsidP="003F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D9" w:rsidRDefault="005B7BD9" w:rsidP="00F00A48">
    <w:pPr>
      <w:pStyle w:val="Footer"/>
      <w:tabs>
        <w:tab w:val="left" w:pos="1260"/>
        <w:tab w:val="right" w:pos="10980"/>
      </w:tabs>
    </w:pPr>
    <w:r>
      <w:tab/>
    </w:r>
    <w:r>
      <w:tab/>
    </w:r>
    <w:r>
      <w:tab/>
    </w:r>
    <w:r>
      <w:tab/>
    </w:r>
    <w:fldSimple w:instr="PAGE   \* MERGEFORMAT">
      <w:r>
        <w:rPr>
          <w:noProof/>
        </w:rPr>
        <w:t>11</w:t>
      </w:r>
    </w:fldSimple>
  </w:p>
  <w:p w:rsidR="005B7BD9" w:rsidRDefault="005B7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BD9" w:rsidRDefault="005B7BD9" w:rsidP="003F1F64">
      <w:r>
        <w:separator/>
      </w:r>
    </w:p>
  </w:footnote>
  <w:footnote w:type="continuationSeparator" w:id="1">
    <w:p w:rsidR="005B7BD9" w:rsidRDefault="005B7BD9" w:rsidP="003F1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2D6D"/>
    <w:multiLevelType w:val="hybridMultilevel"/>
    <w:tmpl w:val="930E03E0"/>
    <w:lvl w:ilvl="0" w:tplc="0B260C26">
      <w:start w:val="1"/>
      <w:numFmt w:val="decimal"/>
      <w:lvlText w:val="%1."/>
      <w:lvlJc w:val="left"/>
      <w:pPr>
        <w:ind w:left="25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6A5"/>
    <w:rsid w:val="00002E37"/>
    <w:rsid w:val="00011958"/>
    <w:rsid w:val="00017403"/>
    <w:rsid w:val="000246BA"/>
    <w:rsid w:val="000251AC"/>
    <w:rsid w:val="0002699E"/>
    <w:rsid w:val="00032C30"/>
    <w:rsid w:val="000575F4"/>
    <w:rsid w:val="00072843"/>
    <w:rsid w:val="000B4619"/>
    <w:rsid w:val="000F278B"/>
    <w:rsid w:val="00106258"/>
    <w:rsid w:val="00115F1B"/>
    <w:rsid w:val="00116711"/>
    <w:rsid w:val="00120565"/>
    <w:rsid w:val="001235D9"/>
    <w:rsid w:val="00127BA5"/>
    <w:rsid w:val="00140279"/>
    <w:rsid w:val="001462D0"/>
    <w:rsid w:val="001620B2"/>
    <w:rsid w:val="00180C13"/>
    <w:rsid w:val="00181CAA"/>
    <w:rsid w:val="00187F54"/>
    <w:rsid w:val="001A2C98"/>
    <w:rsid w:val="001C67FF"/>
    <w:rsid w:val="00205712"/>
    <w:rsid w:val="002269FF"/>
    <w:rsid w:val="0023286A"/>
    <w:rsid w:val="00263558"/>
    <w:rsid w:val="00274556"/>
    <w:rsid w:val="002B2FE4"/>
    <w:rsid w:val="002D4185"/>
    <w:rsid w:val="0032278B"/>
    <w:rsid w:val="0033309E"/>
    <w:rsid w:val="00336493"/>
    <w:rsid w:val="003432BD"/>
    <w:rsid w:val="00343F06"/>
    <w:rsid w:val="003C038E"/>
    <w:rsid w:val="003C2028"/>
    <w:rsid w:val="003C33A0"/>
    <w:rsid w:val="003C5BEA"/>
    <w:rsid w:val="003E0298"/>
    <w:rsid w:val="003F1F64"/>
    <w:rsid w:val="003F2FD5"/>
    <w:rsid w:val="003F3872"/>
    <w:rsid w:val="003F48E4"/>
    <w:rsid w:val="00414B98"/>
    <w:rsid w:val="00414D7C"/>
    <w:rsid w:val="00422BB1"/>
    <w:rsid w:val="00436D24"/>
    <w:rsid w:val="00463E92"/>
    <w:rsid w:val="004B32AA"/>
    <w:rsid w:val="00514653"/>
    <w:rsid w:val="00517EF0"/>
    <w:rsid w:val="0052117D"/>
    <w:rsid w:val="00522F61"/>
    <w:rsid w:val="00531808"/>
    <w:rsid w:val="00541ECF"/>
    <w:rsid w:val="005463D8"/>
    <w:rsid w:val="00563755"/>
    <w:rsid w:val="00563A7E"/>
    <w:rsid w:val="00574C90"/>
    <w:rsid w:val="0058470A"/>
    <w:rsid w:val="00587244"/>
    <w:rsid w:val="005A35D3"/>
    <w:rsid w:val="005A6A17"/>
    <w:rsid w:val="005B72E7"/>
    <w:rsid w:val="005B7BD9"/>
    <w:rsid w:val="005C3EF3"/>
    <w:rsid w:val="005D61C4"/>
    <w:rsid w:val="005E7FBB"/>
    <w:rsid w:val="00624252"/>
    <w:rsid w:val="00637C31"/>
    <w:rsid w:val="006426EC"/>
    <w:rsid w:val="00654E0D"/>
    <w:rsid w:val="00676B4A"/>
    <w:rsid w:val="006816E5"/>
    <w:rsid w:val="006918C6"/>
    <w:rsid w:val="00692A00"/>
    <w:rsid w:val="006972DD"/>
    <w:rsid w:val="006A026B"/>
    <w:rsid w:val="006A1A78"/>
    <w:rsid w:val="006B4C01"/>
    <w:rsid w:val="006C0BB3"/>
    <w:rsid w:val="006C47CB"/>
    <w:rsid w:val="006D2C8F"/>
    <w:rsid w:val="00722101"/>
    <w:rsid w:val="00723EDB"/>
    <w:rsid w:val="00741E86"/>
    <w:rsid w:val="0076006C"/>
    <w:rsid w:val="007939C3"/>
    <w:rsid w:val="007A20AE"/>
    <w:rsid w:val="007D0CD8"/>
    <w:rsid w:val="007E1DC0"/>
    <w:rsid w:val="008042FC"/>
    <w:rsid w:val="00812E62"/>
    <w:rsid w:val="00821C58"/>
    <w:rsid w:val="00861264"/>
    <w:rsid w:val="00872E3D"/>
    <w:rsid w:val="008C16A5"/>
    <w:rsid w:val="008C50C9"/>
    <w:rsid w:val="008D1AE1"/>
    <w:rsid w:val="00904FA8"/>
    <w:rsid w:val="00906309"/>
    <w:rsid w:val="0091053E"/>
    <w:rsid w:val="0091210B"/>
    <w:rsid w:val="009161FE"/>
    <w:rsid w:val="009202D7"/>
    <w:rsid w:val="00921A38"/>
    <w:rsid w:val="009261F7"/>
    <w:rsid w:val="00944B01"/>
    <w:rsid w:val="009454D7"/>
    <w:rsid w:val="00960A37"/>
    <w:rsid w:val="009615B5"/>
    <w:rsid w:val="00965C43"/>
    <w:rsid w:val="00966747"/>
    <w:rsid w:val="0099323F"/>
    <w:rsid w:val="00994621"/>
    <w:rsid w:val="009A71FA"/>
    <w:rsid w:val="009B5699"/>
    <w:rsid w:val="009D25AD"/>
    <w:rsid w:val="009F1E0F"/>
    <w:rsid w:val="00A36415"/>
    <w:rsid w:val="00A64B07"/>
    <w:rsid w:val="00A72B57"/>
    <w:rsid w:val="00AA02BF"/>
    <w:rsid w:val="00B15617"/>
    <w:rsid w:val="00B17616"/>
    <w:rsid w:val="00B3055F"/>
    <w:rsid w:val="00B64679"/>
    <w:rsid w:val="00B744A8"/>
    <w:rsid w:val="00B778E9"/>
    <w:rsid w:val="00B82E81"/>
    <w:rsid w:val="00B84B7E"/>
    <w:rsid w:val="00B9289C"/>
    <w:rsid w:val="00BA7F56"/>
    <w:rsid w:val="00BC3620"/>
    <w:rsid w:val="00BD5C5C"/>
    <w:rsid w:val="00C04683"/>
    <w:rsid w:val="00C07742"/>
    <w:rsid w:val="00C15C66"/>
    <w:rsid w:val="00C5483D"/>
    <w:rsid w:val="00C5776B"/>
    <w:rsid w:val="00C6114F"/>
    <w:rsid w:val="00C87998"/>
    <w:rsid w:val="00CB64D8"/>
    <w:rsid w:val="00CD4BE6"/>
    <w:rsid w:val="00CF0B5F"/>
    <w:rsid w:val="00CF43B6"/>
    <w:rsid w:val="00CF643D"/>
    <w:rsid w:val="00D145CE"/>
    <w:rsid w:val="00D310F5"/>
    <w:rsid w:val="00D506B3"/>
    <w:rsid w:val="00D87A58"/>
    <w:rsid w:val="00D9136A"/>
    <w:rsid w:val="00D913D3"/>
    <w:rsid w:val="00D9372C"/>
    <w:rsid w:val="00DA71F7"/>
    <w:rsid w:val="00DC30DB"/>
    <w:rsid w:val="00E03B94"/>
    <w:rsid w:val="00E459BC"/>
    <w:rsid w:val="00E524D7"/>
    <w:rsid w:val="00E60E3A"/>
    <w:rsid w:val="00E6604D"/>
    <w:rsid w:val="00E73B43"/>
    <w:rsid w:val="00E75B51"/>
    <w:rsid w:val="00EA1B16"/>
    <w:rsid w:val="00EA6755"/>
    <w:rsid w:val="00EB316F"/>
    <w:rsid w:val="00EC13A2"/>
    <w:rsid w:val="00F00A48"/>
    <w:rsid w:val="00F0181F"/>
    <w:rsid w:val="00F15245"/>
    <w:rsid w:val="00F26622"/>
    <w:rsid w:val="00F26E93"/>
    <w:rsid w:val="00F32129"/>
    <w:rsid w:val="00F50E25"/>
    <w:rsid w:val="00F53B59"/>
    <w:rsid w:val="00F57FD3"/>
    <w:rsid w:val="00F60EB2"/>
    <w:rsid w:val="00F719CA"/>
    <w:rsid w:val="00F80C7A"/>
    <w:rsid w:val="00FD42A3"/>
    <w:rsid w:val="00FD671B"/>
    <w:rsid w:val="00FE1C60"/>
    <w:rsid w:val="00FF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1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F1F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1F6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F1F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1F6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3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8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1648</TotalTime>
  <Pages>11</Pages>
  <Words>8009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2013-12-16T01:34:00Z</cp:lastPrinted>
  <dcterms:created xsi:type="dcterms:W3CDTF">2013-12-02T07:36:00Z</dcterms:created>
  <dcterms:modified xsi:type="dcterms:W3CDTF">2013-12-16T01:36:00Z</dcterms:modified>
</cp:coreProperties>
</file>