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610" w:type="dxa"/>
        <w:tblLayout w:type="fixed"/>
        <w:tblLook w:val="00A0"/>
      </w:tblPr>
      <w:tblGrid>
        <w:gridCol w:w="11340"/>
      </w:tblGrid>
      <w:tr w:rsidR="005B7BD9" w:rsidRPr="00C15C66" w:rsidTr="00F00A48">
        <w:trPr>
          <w:cantSplit/>
        </w:trPr>
        <w:tc>
          <w:tcPr>
            <w:tcW w:w="11340" w:type="dxa"/>
          </w:tcPr>
          <w:p w:rsidR="005B7BD9" w:rsidRPr="00C15C66" w:rsidRDefault="005B7BD9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C15C66">
              <w:rPr>
                <w:b/>
                <w:sz w:val="22"/>
                <w:szCs w:val="22"/>
              </w:rPr>
              <w:t>РОССИЙСКАЯ  ФЕДЕРАЦИЯ</w:t>
            </w:r>
          </w:p>
          <w:p w:rsidR="005B7BD9" w:rsidRPr="00C15C66" w:rsidRDefault="005B7BD9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C15C66">
              <w:rPr>
                <w:b/>
                <w:sz w:val="22"/>
                <w:szCs w:val="22"/>
              </w:rPr>
              <w:t>ИРКУТСКАЯ ОБЛАСТЬ</w:t>
            </w:r>
          </w:p>
        </w:tc>
      </w:tr>
      <w:tr w:rsidR="005B7BD9" w:rsidRPr="00C15C66" w:rsidTr="00F00A48">
        <w:trPr>
          <w:cantSplit/>
        </w:trPr>
        <w:tc>
          <w:tcPr>
            <w:tcW w:w="11340" w:type="dxa"/>
          </w:tcPr>
          <w:p w:rsidR="005B7BD9" w:rsidRPr="00C15C66" w:rsidRDefault="005B7BD9">
            <w:pPr>
              <w:jc w:val="center"/>
              <w:rPr>
                <w:b/>
                <w:sz w:val="22"/>
                <w:szCs w:val="22"/>
              </w:rPr>
            </w:pPr>
          </w:p>
          <w:p w:rsidR="005B7BD9" w:rsidRPr="00C15C66" w:rsidRDefault="005B7BD9">
            <w:pPr>
              <w:jc w:val="center"/>
              <w:rPr>
                <w:b/>
                <w:sz w:val="22"/>
                <w:szCs w:val="22"/>
              </w:rPr>
            </w:pPr>
            <w:r w:rsidRPr="00C15C66">
              <w:rPr>
                <w:b/>
                <w:sz w:val="22"/>
                <w:szCs w:val="22"/>
              </w:rPr>
              <w:t xml:space="preserve">МУНИЦИПАЛЬНОЕ  УЧРЕЖДЕНИЕ  «КОНТРОЛЬНО-СЧЕТНАЯ  ПАЛАТА  </w:t>
            </w:r>
          </w:p>
          <w:p w:rsidR="005B7BD9" w:rsidRPr="00C15C66" w:rsidRDefault="005B7BD9">
            <w:pPr>
              <w:jc w:val="center"/>
              <w:rPr>
                <w:b/>
                <w:sz w:val="22"/>
                <w:szCs w:val="22"/>
              </w:rPr>
            </w:pPr>
            <w:r w:rsidRPr="00C15C66">
              <w:rPr>
                <w:b/>
                <w:sz w:val="22"/>
                <w:szCs w:val="22"/>
              </w:rPr>
              <w:t xml:space="preserve">ГОРОДСКОГО  ОКРУГА  МУНИЦИПАЛЬНОГО  ОБРАЗОВАНИЯ – </w:t>
            </w:r>
          </w:p>
          <w:p w:rsidR="005B7BD9" w:rsidRPr="00C15C66" w:rsidRDefault="005B7BD9">
            <w:pPr>
              <w:jc w:val="center"/>
              <w:rPr>
                <w:b/>
                <w:sz w:val="22"/>
                <w:szCs w:val="22"/>
              </w:rPr>
            </w:pPr>
            <w:r w:rsidRPr="00C15C66">
              <w:rPr>
                <w:b/>
                <w:sz w:val="22"/>
                <w:szCs w:val="22"/>
              </w:rPr>
              <w:t>«ГОРОД ТУЛУН»</w:t>
            </w:r>
          </w:p>
        </w:tc>
      </w:tr>
      <w:tr w:rsidR="005B7BD9" w:rsidRPr="00C15C66" w:rsidTr="00F00A48">
        <w:trPr>
          <w:cantSplit/>
        </w:trPr>
        <w:tc>
          <w:tcPr>
            <w:tcW w:w="11340" w:type="dxa"/>
          </w:tcPr>
          <w:p w:rsidR="005B7BD9" w:rsidRPr="00C15C66" w:rsidRDefault="005B7B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8240;visibility:visible;mso-wrap-distance-top:-3e-5mm;mso-wrap-distance-bottom:-3e-5mm;mso-position-horizontal-relative:text;mso-position-vertical-relative:text" from="44.4pt,14.4pt" to="485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" strokeweight="3pt"/>
              </w:pict>
            </w:r>
          </w:p>
        </w:tc>
      </w:tr>
      <w:tr w:rsidR="005B7BD9" w:rsidRPr="00C15C66" w:rsidTr="00F00A48">
        <w:trPr>
          <w:cantSplit/>
        </w:trPr>
        <w:tc>
          <w:tcPr>
            <w:tcW w:w="11340" w:type="dxa"/>
          </w:tcPr>
          <w:p w:rsidR="005B7BD9" w:rsidRPr="00C15C66" w:rsidRDefault="005B7BD9">
            <w:pPr>
              <w:ind w:left="-108"/>
              <w:rPr>
                <w:sz w:val="22"/>
                <w:szCs w:val="22"/>
              </w:rPr>
            </w:pPr>
          </w:p>
        </w:tc>
      </w:tr>
    </w:tbl>
    <w:p w:rsidR="005B7BD9" w:rsidRPr="00C15C66" w:rsidRDefault="005B7BD9" w:rsidP="00F00A48">
      <w:pPr>
        <w:jc w:val="center"/>
        <w:rPr>
          <w:b/>
          <w:sz w:val="22"/>
          <w:szCs w:val="22"/>
        </w:rPr>
      </w:pPr>
      <w:r w:rsidRPr="00C15C66">
        <w:rPr>
          <w:b/>
          <w:sz w:val="22"/>
          <w:szCs w:val="22"/>
        </w:rPr>
        <w:t>Заключение   №  17-э</w:t>
      </w:r>
    </w:p>
    <w:p w:rsidR="005B7BD9" w:rsidRPr="00C15C66" w:rsidRDefault="005B7BD9" w:rsidP="008C16A5">
      <w:pPr>
        <w:jc w:val="center"/>
        <w:rPr>
          <w:b/>
          <w:sz w:val="22"/>
          <w:szCs w:val="22"/>
        </w:rPr>
      </w:pPr>
      <w:r w:rsidRPr="00C15C66">
        <w:rPr>
          <w:b/>
          <w:sz w:val="22"/>
          <w:szCs w:val="22"/>
        </w:rPr>
        <w:t>по результатам  экспертизы  проекта решения Думы городского округа «О бюджете муниципального образования – «город Тулун» на 2014 год и на плановый период 2015 и 2016 годов»</w:t>
      </w:r>
    </w:p>
    <w:p w:rsidR="005B7BD9" w:rsidRPr="00C15C66" w:rsidRDefault="005B7BD9" w:rsidP="008C16A5">
      <w:pPr>
        <w:rPr>
          <w:b/>
          <w:sz w:val="16"/>
          <w:szCs w:val="16"/>
        </w:rPr>
      </w:pPr>
    </w:p>
    <w:p w:rsidR="005B7BD9" w:rsidRPr="00C15C66" w:rsidRDefault="005B7BD9" w:rsidP="00C15C66">
      <w:pPr>
        <w:rPr>
          <w:sz w:val="22"/>
          <w:szCs w:val="22"/>
        </w:rPr>
      </w:pPr>
      <w:r w:rsidRPr="00C15C66">
        <w:rPr>
          <w:sz w:val="22"/>
          <w:szCs w:val="22"/>
        </w:rPr>
        <w:t xml:space="preserve">г. Тулун                                                                                   </w:t>
      </w:r>
      <w:r w:rsidRPr="00C15C66">
        <w:rPr>
          <w:sz w:val="22"/>
          <w:szCs w:val="22"/>
        </w:rPr>
        <w:tab/>
      </w:r>
      <w:r w:rsidRPr="00C15C6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5C66">
        <w:rPr>
          <w:sz w:val="22"/>
          <w:szCs w:val="22"/>
        </w:rPr>
        <w:t xml:space="preserve">06  декабря  2013 года       </w:t>
      </w:r>
    </w:p>
    <w:p w:rsidR="005B7BD9" w:rsidRPr="00C15C66" w:rsidRDefault="005B7BD9" w:rsidP="008C16A5">
      <w:pPr>
        <w:jc w:val="both"/>
        <w:rPr>
          <w:sz w:val="16"/>
          <w:szCs w:val="16"/>
        </w:rPr>
      </w:pPr>
    </w:p>
    <w:p w:rsidR="005B7BD9" w:rsidRPr="00C15C66" w:rsidRDefault="005B7BD9" w:rsidP="00C15C66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Заключение по результатам экспертизы  проекта решения Думы городского округа «О бюджете муниципального образования – «город Тулун» на 2014 год и на плановый период 2015 и 2016 годов» подготовлено Контрольно-счётной палатой муниципального образования – «город Тулун» в соответствии со статьей 157 Бюджетного кодекса РФ, планом работы КСП на 4 квартал 2013 года и поручением  Думы городского округа от 18.11.2013г № 372.  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Целями  проведения экспертизы проекта  решения Думы городского округа «О бюджете муниципального образования - «город Тулун» на 2014 год и на плановый период 2015 и 2016 годов» является определение  соблюдения  бюджетного и иного законодательства  исполнительным органом местного самоуправления при разработке и принятии  местного бюджета на  очередной финансовый год и плановый период 2015-2016гг,  анализ объективности и   достоверности  планируемых доходов и расходов бюджета.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>Заключение на проект решения Думы городского округа «О бюджете муниципального образования - «город Тулун» на 2014 год и на плановый период 2015 и 2015 годов» (далее – Заключение) подготовлено в соответствии с Бюджетным кодексом Российской Федерации,  Положением о бюджетном процессе в муниципальном образовании - «город Тулун», Положением о Контрольно-счетной палате городского округа  муниципального образования - «город Тулун»,  иными актами действующего законодательства.</w:t>
      </w:r>
    </w:p>
    <w:p w:rsidR="005B7BD9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   При составлении Заключения проанализировано наличие и оценено состояние нормативной   и методической базы, регулирующей порядок формирования бюджета муниципального образования – «город Тулун», параметров его основных показателей.</w:t>
      </w:r>
    </w:p>
    <w:p w:rsidR="005B7BD9" w:rsidRPr="00C15C66" w:rsidRDefault="005B7BD9" w:rsidP="008C16A5">
      <w:pPr>
        <w:jc w:val="both"/>
        <w:rPr>
          <w:sz w:val="16"/>
          <w:szCs w:val="16"/>
        </w:rPr>
      </w:pPr>
    </w:p>
    <w:p w:rsidR="005B7BD9" w:rsidRPr="00C15C66" w:rsidRDefault="005B7BD9" w:rsidP="00F00A48">
      <w:pPr>
        <w:pStyle w:val="ListParagraph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 w:rsidRPr="00C15C66">
        <w:rPr>
          <w:b/>
          <w:sz w:val="22"/>
          <w:szCs w:val="22"/>
        </w:rPr>
        <w:t>Анализ соответствия  проекта местного бюджета   требованиям бюджетного законодательства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>Проект решения Думы городского округа «О бюджете муниципального образования - «город Тулун» на 2014 год и на плановый период 2015 и 2016 годов» (далее - проект) представлен в Думу городского округа 15.11.2013года, т.е.  в сроки, установленные статьей 185 Бюджетного кодекса РФ и  п.1.1части 4 Положения о бюджетном процессе в муниципальном образовании - «город Тулун».</w:t>
      </w:r>
      <w:r w:rsidRPr="00C15C66">
        <w:rPr>
          <w:sz w:val="22"/>
          <w:szCs w:val="22"/>
        </w:rPr>
        <w:tab/>
      </w:r>
    </w:p>
    <w:p w:rsidR="005B7BD9" w:rsidRPr="00C15C66" w:rsidRDefault="005B7BD9" w:rsidP="008C16A5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Перечень  и содержание документов и материалов, которые должны предоставляться  одновременно с проектом бюджета в представительный орган  в соответствии с  требованиями статьи 184² Бюджетного Кодекса РФ, подготовлены и представлены администрацией городского округа.  К проекту бюджета представлен исчерпывающий перечень   документов.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>Постановлением администрации городского округа  от 30.09.2013г № 1832 «Об утверждении основных направлений бюджетной и налоговой политики муниципального образования – «город Тулун» на 2014 год и плановый период 2015 и 2016 годов» определены  основные  цели  бюджетной и налоговой  политики на 2014 год и плановый период на территории городского округа, одной из главных  является    обеспечение сбалансированности   бюджета в среднесрочной и долгосрочной  перспективе,   внедрение программно-целевых  методов с обязательным проведением оценки эффективности реализации программ, финансируемых за счет местного бюджета, а также реализация мер, направленных на повышение собираемости налогов, зачисляемых в местный бюджет,  создание благоприятных условий для инвестиционной  и инновационной деятельности, поддержка и развитие субъектов  малого и среднего предпринимательства.</w:t>
      </w:r>
    </w:p>
    <w:p w:rsidR="005B7BD9" w:rsidRPr="00C15C66" w:rsidRDefault="005B7BD9" w:rsidP="008C16A5">
      <w:pPr>
        <w:jc w:val="center"/>
        <w:rPr>
          <w:b/>
          <w:sz w:val="16"/>
          <w:szCs w:val="16"/>
        </w:rPr>
      </w:pPr>
    </w:p>
    <w:p w:rsidR="005B7BD9" w:rsidRPr="00C15C66" w:rsidRDefault="005B7BD9" w:rsidP="00F00A48">
      <w:pPr>
        <w:jc w:val="center"/>
        <w:rPr>
          <w:sz w:val="22"/>
          <w:szCs w:val="22"/>
        </w:rPr>
      </w:pPr>
      <w:r w:rsidRPr="00C15C66">
        <w:rPr>
          <w:b/>
          <w:sz w:val="22"/>
          <w:szCs w:val="22"/>
        </w:rPr>
        <w:t>2.  Характеристика основных параметров местного бюджета</w:t>
      </w:r>
    </w:p>
    <w:p w:rsidR="005B7BD9" w:rsidRPr="00C15C66" w:rsidRDefault="005B7BD9" w:rsidP="008C16A5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Проектом  решения о бюджете на 2014 год и на плановый период  установлены основные характеристики  бюджета в соответствии с нормами статьи 184¹ БК РФ: общий объем доходов бюджета на 2014 год  составит702,3  млн. руб.,на 2015 год – 732,3 млн. руб., на 2016год  - 775,0 млн. рублей.</w:t>
      </w:r>
    </w:p>
    <w:p w:rsidR="005B7BD9" w:rsidRPr="00C15C66" w:rsidRDefault="005B7BD9" w:rsidP="008C16A5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Общий объем расходовна 2014 год составит 729,2 млн. руб., соответственно на 2015 год- 760,3 млн. руб., на 2016 год – 804,8 млн. рублей.</w:t>
      </w:r>
    </w:p>
    <w:p w:rsidR="005B7BD9" w:rsidRPr="00C15C66" w:rsidRDefault="005B7BD9" w:rsidP="008C16A5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Местный бюджет  на 2014 год и плановый период (2015-2016гг) сформирован с превышением  расходов над доходами: в 2014 году  в размере 26,9 млн.руб.  или 9,9%  от утвержденного общего  годового объема доходов местного бюджета  без учета утвержденного объема безвозмездных поступлений,  в 2015 году – в размере 27,9 млн.руб. или  9,97%, в 2016 году – в размере 29,8  млн. руб. или 9,9%.</w:t>
      </w:r>
    </w:p>
    <w:p w:rsidR="005B7BD9" w:rsidRPr="00C15C66" w:rsidRDefault="005B7BD9" w:rsidP="008C16A5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Решением о бюджете установлены: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- перечень главных администраторов доходов бюджета;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- перечень главных администраторов источников финансирования дефицита бюджета;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- распределение бюджетных ассигнований по разделам, подразделам, целевым статьям и видам расходов;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- источники финансирования дефицита бюджета;</w:t>
      </w:r>
    </w:p>
    <w:p w:rsidR="005B7BD9" w:rsidRPr="00C15C66" w:rsidRDefault="005B7BD9" w:rsidP="008C16A5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- верхний предел муниципального внутреннего долга по состоянию на 1 января 2015, 2016, 2017  года.</w:t>
      </w:r>
    </w:p>
    <w:p w:rsidR="005B7BD9" w:rsidRPr="00C15C66" w:rsidRDefault="005B7BD9" w:rsidP="00C5776B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В текстовой части решения пункт 2 отражен дважды, тем самым нарушена цифровая последовательность пунктов решения.</w:t>
      </w:r>
    </w:p>
    <w:p w:rsidR="005B7BD9" w:rsidRPr="00C15C66" w:rsidRDefault="005B7BD9" w:rsidP="00127BA5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Пунктом 9 проекта решения предлагается утвердить объем бюджетных ассигнований, направляемых на исполнение публичных нормативных  обязательств, на 2014 год  в объеме 2566,6 тыс. руб., соответственно на 2015 год – 3118,6 тыс. руб., на 2016 год – 3334,9 тыс.руб., </w:t>
      </w:r>
      <w:bookmarkStart w:id="0" w:name="_GoBack"/>
      <w:bookmarkEnd w:id="0"/>
      <w:r w:rsidRPr="00C15C66">
        <w:rPr>
          <w:sz w:val="22"/>
          <w:szCs w:val="22"/>
        </w:rPr>
        <w:t xml:space="preserve"> при этом  к проекту решения не приложено приложение с  перечнем таких обязательств, что противоречит   статье 6 БК РФ и нарушает принцип прозрачности бюджетных расходов, предусмотренный статьей 36 БК РФ.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Кроме того, объем бюджетных ассигнований в размере 2566,6 тыс.руб. не соответствует действительному объему публичных обязательств по следующим основаниям: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согласно положениям ст.6 БК РФ   публичными нормативными обязательствами являются  обусловленные законом,  иным нормативным правовым актом расходные обязательства публично – правового образования  перед физическим лицом (</w:t>
      </w:r>
      <w:r w:rsidRPr="00C15C66">
        <w:rPr>
          <w:sz w:val="22"/>
          <w:szCs w:val="22"/>
          <w:u w:val="single"/>
        </w:rPr>
        <w:t>за исключением  государственных (муниципальных) служащих и лиц  иных категорий),</w:t>
      </w:r>
      <w:r w:rsidRPr="00C15C66">
        <w:rPr>
          <w:sz w:val="22"/>
          <w:szCs w:val="22"/>
        </w:rPr>
        <w:t xml:space="preserve">  подлежащие исполнению в денежной форме в установленной соответствующим  законом, иным  нормативным правовым актом  размере или имеющие установленный порядок индексации;  таким образом, в перечень публичных нормативных обязательств </w:t>
      </w:r>
      <w:r w:rsidRPr="00C15C66">
        <w:rPr>
          <w:sz w:val="22"/>
          <w:szCs w:val="22"/>
          <w:u w:val="single"/>
        </w:rPr>
        <w:t>излишне включено публичное нормативное обязательство в виде доплаты к пенсиям государственных служащих субъектов РФ и муниципальных служащих на 2014 год в сумме 1774,6 тыс. руб.,</w:t>
      </w:r>
      <w:r w:rsidRPr="00C15C66">
        <w:rPr>
          <w:sz w:val="22"/>
          <w:szCs w:val="22"/>
        </w:rPr>
        <w:t xml:space="preserve"> на 2015 год в сумме 2001,6 тыс. руб., на 2016 год в сумме  2191,5 тыс. рублей.  </w:t>
      </w:r>
    </w:p>
    <w:p w:rsidR="005B7BD9" w:rsidRPr="00C15C66" w:rsidRDefault="005B7BD9" w:rsidP="00514653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В тоже время в бюджете не отражены  публичные нормативные  обязательства, установленные решением Думы города: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1)  в виде  предоставления социальной выплаты врачам на погашение процентной ставки по кредиту (займу) на приобретение жилого помещения;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2)  в виде компенсации  врачам стоимости  аренды жилого помещения.</w:t>
      </w:r>
    </w:p>
    <w:p w:rsidR="005B7BD9" w:rsidRDefault="005B7BD9" w:rsidP="00C15C66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 Проект решения Думы городского округа «Об утверждении Прогнозного плана (программы) приватизации муниципального имущества муниципального образования – «город Тулун» на 2014 год»  принят депутатами на ноябрьском заседании Думы города. В нарушение Устава муниципального образования, Положения о бюджетном  процессе в муниципальном образовании город Тулун,  постановления администрации городского округа «Об одобрении  прогноза социально – экономического  развития муниципального образования – город Тулун на 2014-2016  годы  - умеренно-оптимистичный вариант», прогноз поступления доходов от приватизации запланирован </w:t>
      </w:r>
      <w:r w:rsidRPr="00C15C66">
        <w:rPr>
          <w:sz w:val="22"/>
          <w:szCs w:val="22"/>
          <w:u w:val="single"/>
        </w:rPr>
        <w:t>только на 2014 год</w:t>
      </w:r>
      <w:r w:rsidRPr="00C15C66">
        <w:rPr>
          <w:sz w:val="22"/>
          <w:szCs w:val="22"/>
        </w:rPr>
        <w:t>.</w:t>
      </w:r>
    </w:p>
    <w:p w:rsidR="005B7BD9" w:rsidRPr="00C15C66" w:rsidRDefault="005B7BD9" w:rsidP="00C15C66">
      <w:pPr>
        <w:jc w:val="both"/>
        <w:rPr>
          <w:sz w:val="16"/>
          <w:szCs w:val="16"/>
        </w:rPr>
      </w:pPr>
    </w:p>
    <w:p w:rsidR="005B7BD9" w:rsidRPr="00C15C66" w:rsidRDefault="005B7BD9" w:rsidP="00C15C66">
      <w:pPr>
        <w:jc w:val="center"/>
        <w:rPr>
          <w:b/>
          <w:sz w:val="22"/>
          <w:szCs w:val="22"/>
        </w:rPr>
      </w:pPr>
      <w:r w:rsidRPr="00C15C66">
        <w:rPr>
          <w:b/>
          <w:sz w:val="22"/>
          <w:szCs w:val="22"/>
        </w:rPr>
        <w:t>3. Анализ доходной  части проекта местного бюджета на 2014 год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В целом доходы местного бюджета на 2014  год прогнозируются в объеме 702,3 млн. рублей.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При этом объем налоговых и неналоговых доходов планируется в объеме 271,5 млн. руб., объем безвозмездных поступлений   составит  430,8 млн. руб., или 61 %  от доходной части бюджета.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>Необходимо отметить,  что при прогнозировании бюджетных доходов на очередной финансовый год объем отдельных видов доходов занижен, по отдельным видам завышен.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 Так,  анализ основных показателей  налоговых и неналоговых доходов местного бюджета на 2014 год   показал следующее:</w:t>
      </w:r>
    </w:p>
    <w:p w:rsidR="005B7BD9" w:rsidRPr="00C15C66" w:rsidRDefault="005B7BD9" w:rsidP="00336493">
      <w:pPr>
        <w:ind w:firstLine="708"/>
        <w:jc w:val="both"/>
        <w:rPr>
          <w:sz w:val="22"/>
          <w:szCs w:val="22"/>
        </w:rPr>
      </w:pPr>
      <w:r w:rsidRPr="00C15C66">
        <w:rPr>
          <w:b/>
          <w:i/>
          <w:sz w:val="22"/>
          <w:szCs w:val="22"/>
        </w:rPr>
        <w:t>Налог на доходы физических лиц</w:t>
      </w:r>
      <w:r w:rsidRPr="00C15C66">
        <w:rPr>
          <w:sz w:val="22"/>
          <w:szCs w:val="22"/>
        </w:rPr>
        <w:t xml:space="preserve">:  сумма налога на 2014 год в объеме </w:t>
      </w:r>
      <w:r w:rsidRPr="00C15C66">
        <w:rPr>
          <w:b/>
          <w:sz w:val="22"/>
          <w:szCs w:val="22"/>
        </w:rPr>
        <w:t xml:space="preserve">120 000,0 </w:t>
      </w:r>
      <w:r w:rsidRPr="00C15C66">
        <w:rPr>
          <w:sz w:val="22"/>
          <w:szCs w:val="22"/>
        </w:rPr>
        <w:t>тыс. руб., определена, исходя из ожидаемого уровня поступлений 2013 года, скорректирована на темп роста ожидаемых поступлений по налогу в 2013 году к фактическим поступлениям  2012 года  или  113,7%.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Применение указанногокоэффициента по мнению КСП в данном случае не корректно поскольку на поступление по данному виду налогов оказывают влияние темп роста  фонда оплаты труда и норматив отчисления по данному виду налогов.  Таким образом исходя из  среднего индекса роста заработной платы  (109,4%),   объем  поступлений составит  в сумме  112000,0 тыс. рублей.     По оценке КСП прогноз   составит </w:t>
      </w:r>
      <w:r w:rsidRPr="00C15C66">
        <w:rPr>
          <w:b/>
          <w:sz w:val="22"/>
          <w:szCs w:val="22"/>
        </w:rPr>
        <w:t>114000,0</w:t>
      </w:r>
      <w:r w:rsidRPr="00C15C66">
        <w:rPr>
          <w:sz w:val="22"/>
          <w:szCs w:val="22"/>
        </w:rPr>
        <w:t xml:space="preserve">тыс. руб.  с учетом реальной к взысканию недоимки в сумме  2000,0 тыс. рублей.  </w:t>
      </w:r>
    </w:p>
    <w:p w:rsidR="005B7BD9" w:rsidRPr="00C15C66" w:rsidRDefault="005B7BD9" w:rsidP="00336493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Считаем, что прогноз поступлений не соответствует  реальности, завышен  на </w:t>
      </w:r>
      <w:r w:rsidRPr="00C15C66">
        <w:rPr>
          <w:b/>
          <w:sz w:val="22"/>
          <w:szCs w:val="22"/>
        </w:rPr>
        <w:t xml:space="preserve"> 6000,0 </w:t>
      </w:r>
      <w:r w:rsidRPr="00C15C66">
        <w:rPr>
          <w:sz w:val="22"/>
          <w:szCs w:val="22"/>
        </w:rPr>
        <w:t>тыс. рублей.</w:t>
      </w:r>
    </w:p>
    <w:p w:rsidR="005B7BD9" w:rsidRPr="00C15C66" w:rsidRDefault="005B7BD9" w:rsidP="00336493">
      <w:pPr>
        <w:ind w:firstLine="708"/>
        <w:jc w:val="both"/>
        <w:rPr>
          <w:sz w:val="22"/>
          <w:szCs w:val="22"/>
        </w:rPr>
      </w:pPr>
      <w:r w:rsidRPr="00C15C66">
        <w:rPr>
          <w:b/>
          <w:i/>
          <w:sz w:val="22"/>
          <w:szCs w:val="22"/>
        </w:rPr>
        <w:t>Единый налог на вмененный доход:</w:t>
      </w:r>
      <w:r w:rsidRPr="00C15C66">
        <w:rPr>
          <w:sz w:val="22"/>
          <w:szCs w:val="22"/>
        </w:rPr>
        <w:t xml:space="preserve"> прогноз поступлений  на 2014 год определен администратором   в сумме 24285,0 тыс. рублей.   По мнению КСП  прогноз поступлений занижен  на </w:t>
      </w:r>
      <w:r w:rsidRPr="00C15C66">
        <w:rPr>
          <w:b/>
          <w:sz w:val="22"/>
          <w:szCs w:val="22"/>
        </w:rPr>
        <w:t xml:space="preserve">3305,0 </w:t>
      </w:r>
      <w:r w:rsidRPr="00C15C66">
        <w:rPr>
          <w:sz w:val="22"/>
          <w:szCs w:val="22"/>
        </w:rPr>
        <w:t xml:space="preserve">тыс.руб., и  может составить </w:t>
      </w:r>
      <w:r w:rsidRPr="00C15C66">
        <w:rPr>
          <w:b/>
          <w:sz w:val="22"/>
          <w:szCs w:val="22"/>
        </w:rPr>
        <w:t xml:space="preserve">27590,0 </w:t>
      </w:r>
      <w:r w:rsidRPr="00C15C66">
        <w:rPr>
          <w:sz w:val="22"/>
          <w:szCs w:val="22"/>
        </w:rPr>
        <w:t>тыс. руб.  поскольку  при расчете  применяется  сводный индекс потребительских цен на 2014 год по прогнозу социально-экономического развития РФ, скорректированный на темп роста, который  составляет 11,9% к ожидаемой оценке 2012 года(24656 х111,9%).</w:t>
      </w:r>
    </w:p>
    <w:p w:rsidR="005B7BD9" w:rsidRPr="00C15C66" w:rsidRDefault="005B7BD9" w:rsidP="00336493">
      <w:pPr>
        <w:ind w:firstLine="708"/>
        <w:jc w:val="both"/>
        <w:rPr>
          <w:sz w:val="22"/>
          <w:szCs w:val="22"/>
        </w:rPr>
      </w:pPr>
      <w:r w:rsidRPr="00C15C66">
        <w:rPr>
          <w:b/>
          <w:i/>
          <w:sz w:val="22"/>
          <w:szCs w:val="22"/>
        </w:rPr>
        <w:t>Налог на имущество физических лиц</w:t>
      </w:r>
      <w:r w:rsidRPr="00C15C66">
        <w:rPr>
          <w:sz w:val="22"/>
          <w:szCs w:val="22"/>
        </w:rPr>
        <w:t xml:space="preserve">  спрогнозирован с учетом проводимой переоценки имущества в объеме </w:t>
      </w:r>
      <w:r w:rsidRPr="00C15C66">
        <w:rPr>
          <w:b/>
          <w:sz w:val="22"/>
          <w:szCs w:val="22"/>
        </w:rPr>
        <w:t xml:space="preserve">7000,0 </w:t>
      </w:r>
      <w:r w:rsidRPr="00C15C66">
        <w:rPr>
          <w:sz w:val="22"/>
          <w:szCs w:val="22"/>
        </w:rPr>
        <w:t>тыс. рублей.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По расчету КСП поступления по данному виду налога могут </w:t>
      </w:r>
      <w:r w:rsidRPr="00C15C66">
        <w:rPr>
          <w:b/>
          <w:sz w:val="22"/>
          <w:szCs w:val="22"/>
        </w:rPr>
        <w:t xml:space="preserve">составить  8145,0 </w:t>
      </w:r>
      <w:r w:rsidRPr="00C15C66">
        <w:rPr>
          <w:sz w:val="22"/>
          <w:szCs w:val="22"/>
        </w:rPr>
        <w:t xml:space="preserve">тыс. руб.  поскольку  ожидаемую оценку  2013 в объеме 7164,0 тыс. руб. необходимо скорректировать на темп  роста ожидаемых поступлений 2013 года к факту 2012 года,  который составляет  13,7%,  считаем, что объем поступлений занижен  на </w:t>
      </w:r>
      <w:r w:rsidRPr="00C15C66">
        <w:rPr>
          <w:b/>
          <w:sz w:val="22"/>
          <w:szCs w:val="22"/>
        </w:rPr>
        <w:t xml:space="preserve">1145,0 </w:t>
      </w:r>
      <w:r w:rsidRPr="00C15C66">
        <w:rPr>
          <w:sz w:val="22"/>
          <w:szCs w:val="22"/>
        </w:rPr>
        <w:t>тыс. рублей.</w:t>
      </w:r>
    </w:p>
    <w:p w:rsidR="005B7BD9" w:rsidRPr="00C15C66" w:rsidRDefault="005B7BD9" w:rsidP="00CB64D8">
      <w:pPr>
        <w:ind w:firstLine="708"/>
        <w:jc w:val="both"/>
        <w:rPr>
          <w:sz w:val="22"/>
          <w:szCs w:val="22"/>
        </w:rPr>
      </w:pPr>
      <w:r w:rsidRPr="00C15C66">
        <w:rPr>
          <w:b/>
          <w:i/>
          <w:sz w:val="22"/>
          <w:szCs w:val="22"/>
        </w:rPr>
        <w:t xml:space="preserve">Государственная пошлина </w:t>
      </w:r>
      <w:r w:rsidRPr="00C15C66">
        <w:rPr>
          <w:sz w:val="22"/>
          <w:szCs w:val="22"/>
        </w:rPr>
        <w:t xml:space="preserve"> прогнозируется поступление в объеме 5000,0 тыс. руб., по расчету КСП  объем госпошлины составит 6475,0 тыс. руб.,  ожидаемую  оценку необходимо  скорректировать на темп роста ожидаемых поступлений 2013 года к факту 2012 года, который  составляет 115,9%.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</w:r>
      <w:r w:rsidRPr="00C15C66">
        <w:rPr>
          <w:b/>
          <w:i/>
          <w:sz w:val="22"/>
          <w:szCs w:val="22"/>
        </w:rPr>
        <w:t>Арендная плата от  использования  муниципального имущества:</w:t>
      </w:r>
      <w:r w:rsidRPr="00C15C66">
        <w:rPr>
          <w:sz w:val="22"/>
          <w:szCs w:val="22"/>
        </w:rPr>
        <w:t xml:space="preserve">  объем поступлений в проекте бюджета предусмотрен  в размере  14413,0 тыс. руб., по расчету КСП прогноз должен быть скорректирован на уровень ожидаемой  инфляции в 2014 году – 5,3%,  таким образом,  прогноз поступления арендной платы  составит  15 176,0 тыс. рублей.</w:t>
      </w:r>
    </w:p>
    <w:p w:rsidR="005B7BD9" w:rsidRPr="00C15C66" w:rsidRDefault="005B7BD9" w:rsidP="000575F4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При проведении процедуры экспертизы  Контрольно-счетной палатой установлено, что администрация не приняла индексацию ставок  арендной платы муниципального имущества,  прогноз доходов от аренды  муниципального имущества  занижен на</w:t>
      </w:r>
      <w:r w:rsidRPr="00C15C66">
        <w:rPr>
          <w:b/>
          <w:sz w:val="22"/>
          <w:szCs w:val="22"/>
        </w:rPr>
        <w:t xml:space="preserve"> 763,0 </w:t>
      </w:r>
      <w:r w:rsidRPr="00C15C66">
        <w:rPr>
          <w:sz w:val="22"/>
          <w:szCs w:val="22"/>
        </w:rPr>
        <w:t>тыс. рублей.</w:t>
      </w:r>
    </w:p>
    <w:p w:rsidR="005B7BD9" w:rsidRPr="00C15C66" w:rsidRDefault="005B7BD9" w:rsidP="000B4619">
      <w:pPr>
        <w:jc w:val="both"/>
        <w:rPr>
          <w:b/>
          <w:sz w:val="22"/>
          <w:szCs w:val="22"/>
        </w:rPr>
      </w:pPr>
      <w:r w:rsidRPr="00C15C66">
        <w:rPr>
          <w:sz w:val="22"/>
          <w:szCs w:val="22"/>
        </w:rPr>
        <w:tab/>
        <w:t>Кроме того, следует отметить, что   недоимка по платежам в местный бюджет от использования муниципального имущества  по состоянию на 01.12.2013г составляет 7300,0 тыс. руб. (в сравнении: на 01.12.2012г  составляла 5762,0 тыс. руб.), в том числе от  переданного в аренду имущества ОАО «Облжилкомхоз»  - 6278,0 тыс. рублей.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b/>
          <w:i/>
          <w:sz w:val="22"/>
          <w:szCs w:val="22"/>
        </w:rPr>
        <w:t>Доходы от  реализации имущества, находящегося в оперативном управлении учреждений в ведении органов управления,</w:t>
      </w:r>
      <w:r w:rsidRPr="00C15C66">
        <w:rPr>
          <w:sz w:val="22"/>
          <w:szCs w:val="22"/>
        </w:rPr>
        <w:t>по прогнозу администрации городского округа составят 0 тыс. рублей, однако на основании решения Думы города прогнозный план приватизации на 2014 год утвержден в сумме  1415,0 тыс. руб., в связи с чем ожидаемые доходы занижены на</w:t>
      </w:r>
      <w:r w:rsidRPr="00C15C66">
        <w:rPr>
          <w:b/>
          <w:sz w:val="22"/>
          <w:szCs w:val="22"/>
        </w:rPr>
        <w:t xml:space="preserve"> 1415,0 </w:t>
      </w:r>
      <w:r w:rsidRPr="00C15C66">
        <w:rPr>
          <w:sz w:val="22"/>
          <w:szCs w:val="22"/>
        </w:rPr>
        <w:t xml:space="preserve">тыс. рублей.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Кроме того,  в муниципальной казне числится  специализированный  служебный  муниципальный  жилой фонд  в количестве 28 объектов  общей площадью 1123,3 кв. м.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В нарушение ст. 100 Жилищного кодекса РФ  плата за найм служебных помещений администратором доходов  не начисляется и не   взимается. Плата за найм не установлена, потери бюджета  составят  48,0 тыс. руб. (при условии установления платы за наймв размере 3,58 руб. за 1 кв.м.).</w:t>
      </w:r>
    </w:p>
    <w:p w:rsidR="005B7BD9" w:rsidRPr="00C15C66" w:rsidRDefault="005B7BD9" w:rsidP="007A20AE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На основании вышеизложенного необходимо отметить, что объем  прогнозирования собственных  доходов на очередной финансовый год близок к реальному исполнению, однако  объем отдельных видов доходов занижен  на сумму 8103,0 тыс. руб.,   в тоже время прогноз поступления налога на доходы физических лиц  завышен на 6000,0 тыс. рублей.  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</w:r>
      <w:r w:rsidRPr="00C15C66">
        <w:rPr>
          <w:sz w:val="22"/>
          <w:szCs w:val="22"/>
          <w:lang w:eastAsia="en-US"/>
        </w:rPr>
        <w:t xml:space="preserve">Согласно представленному  администрацией города проекту местного бюджета на 2014 год и на плановый период 2015 и 2016 годов </w:t>
      </w:r>
      <w:r w:rsidRPr="00C15C66">
        <w:rPr>
          <w:b/>
          <w:sz w:val="22"/>
          <w:szCs w:val="22"/>
          <w:lang w:eastAsia="en-US"/>
        </w:rPr>
        <w:t>объем безвозмездных поступлений</w:t>
      </w:r>
      <w:r w:rsidRPr="00C15C66">
        <w:rPr>
          <w:sz w:val="22"/>
          <w:szCs w:val="22"/>
          <w:lang w:eastAsia="en-US"/>
        </w:rPr>
        <w:t xml:space="preserve">  из областного бюджета  на 2014 год определен  в размере 430797,2 тыс.рублей. Данная сумма не соответствует проекту закона Иркутской области «Об областном бюджете на 2014 год и на плановый период 2015 и 2016 годов», принятому во втором чтении на сессии Законодательного собрания Иркутской области 27.11.2013 года.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Объем межбюджетных трансфертов, предоставляемых муниципальному образованию – «город Тулун» на 2014 год (2015—2016гг),  увеличен  на реализацию  передаваемых полномочий в сфере обращения с  безнадзорными собаками и кошками в сумме 805,0 тыс.рублей.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 Всего объем межбюджетных трансфертов, передаваемых МО «город Тулун», согласно проекту Закона Иркутской области об областном бюджете, принятом во втором чтении, составит  на 2014 год  </w:t>
      </w:r>
      <w:r w:rsidRPr="00C15C66">
        <w:rPr>
          <w:b/>
          <w:sz w:val="22"/>
          <w:szCs w:val="22"/>
          <w:lang w:eastAsia="en-US"/>
        </w:rPr>
        <w:t>431602,2 тыс.руб.,</w:t>
      </w:r>
      <w:r w:rsidRPr="00C15C66">
        <w:rPr>
          <w:sz w:val="22"/>
          <w:szCs w:val="22"/>
          <w:lang w:eastAsia="en-US"/>
        </w:rPr>
        <w:t xml:space="preserve"> из них: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дотация на выравнивание уровня бюджетной обеспеченности 3101,5 тыс.руб.;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субсидии на реализацию  государственных программ Иркутской области 33948 тыс.руб. (в т.ч. на реализацию  ГП ИО «Развитие физической культуры и спорта» на 2014-2018 годы - 30000,0 тыс.руб. на строительство бассейна; на реализацию ГП ИО «Доступное жилье» на 2014-2020 годы – 3816,4 тыс.руб. на переселение граждан из ветхого и аварийного жилищного фонда; на реализацию ГП ИО «Развитие здравоохранения» на 2014-2020 годы – 131,6 тыс.руб. на совершенствование оказания специализированной медицинской помощи, скорой специализированной медицинской помощи, медицинской эвакуации);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субвенции  на осуществление отдельных областных государственных полномочий 38743,3 тыс.руб. (в т.ч. на предоставление гражданам субсидий на оплату жилого помещения и коммунальных услуг 28473,5 тыс.руб.);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субвенции на обеспечение государственных  гарантий на получение общего  образования 205326,7 тыс.руб.;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субвенции на обеспечение государственных гарантий  на получение дошкольного образования 141216,3 тыс.руб.;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иные межбюджетные трансферты  на исполнение судебных актов по обеспечению жилыми помещениями  детей-сирот и детей, оставшихся без попечения родителей, 9266,4 тыс.рублей.</w:t>
      </w:r>
    </w:p>
    <w:p w:rsidR="005B7BD9" w:rsidRPr="00C15C66" w:rsidRDefault="005B7BD9" w:rsidP="000B4619">
      <w:pPr>
        <w:ind w:firstLine="709"/>
        <w:jc w:val="both"/>
        <w:rPr>
          <w:b/>
          <w:sz w:val="22"/>
          <w:szCs w:val="22"/>
          <w:lang w:eastAsia="en-US"/>
        </w:rPr>
      </w:pPr>
      <w:r w:rsidRPr="00C15C66">
        <w:rPr>
          <w:b/>
          <w:sz w:val="22"/>
          <w:szCs w:val="22"/>
        </w:rPr>
        <w:t>Контрольно-счетная  палата   предполагает возможность утверждения  прогнозных показателей по собственным   доходным  источникам  на 2014 год в  сумме  273651,0 тыс. руб., т.е. увеличить на  2151 тыс. руб., объем  безвозмездным поступлениям составит  431602,0 тыс. руб. (+805,0 тыс.руб.),  всего объем доходов бюджета может составить   705253,2  тыс.руб.(+2956,0тыс.руб.).</w:t>
      </w:r>
    </w:p>
    <w:p w:rsidR="005B7BD9" w:rsidRPr="00C15C66" w:rsidRDefault="005B7BD9" w:rsidP="000B4619">
      <w:pPr>
        <w:jc w:val="both"/>
        <w:rPr>
          <w:b/>
          <w:sz w:val="16"/>
          <w:szCs w:val="16"/>
        </w:rPr>
      </w:pPr>
    </w:p>
    <w:p w:rsidR="005B7BD9" w:rsidRPr="00C15C66" w:rsidRDefault="005B7BD9" w:rsidP="00F00A48">
      <w:pPr>
        <w:jc w:val="center"/>
        <w:rPr>
          <w:b/>
          <w:sz w:val="22"/>
          <w:szCs w:val="22"/>
        </w:rPr>
      </w:pPr>
      <w:r w:rsidRPr="00C15C66">
        <w:rPr>
          <w:b/>
          <w:sz w:val="22"/>
          <w:szCs w:val="22"/>
        </w:rPr>
        <w:t>4. Анализ расходной части  местного бюджета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Формирование расходов бюджета муниципального образования  на 2014 год и плановый период 2015 и 2016 годы  произведено на основе программного принципа, а также   бюджетных проектировок  главных распорядителей бюджетных средств,  подготовленных в соответствии с порядком и методикой  планирования бюджетных ассигнований  местного бюджета. 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Расходы бюджета на 2014 год прогнозируются в объеме  </w:t>
      </w:r>
      <w:r w:rsidRPr="00C15C66">
        <w:rPr>
          <w:b/>
          <w:sz w:val="22"/>
          <w:szCs w:val="22"/>
        </w:rPr>
        <w:t xml:space="preserve">729,2  </w:t>
      </w:r>
      <w:r w:rsidRPr="00C15C66">
        <w:rPr>
          <w:sz w:val="22"/>
          <w:szCs w:val="22"/>
        </w:rPr>
        <w:t>млн. руб., объем расходов на плановый период планируется утвердить на 2015 год в сумме 760,3 млн. руб.,на 2016 год в сумме 804,8  млн. рублей.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 Анализ распределения  бюджетных ассигнований в ведомственной структуре расходов местного бюджета  (приложение № 9) показал следующее:в соответствии с ведомственной структурой расходов местного бюджета на 2014 год главными распорядителями средств местного бюджета  определены: 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- Муниципальное учреждение«Администрация городского округа»,  объем выделяемых средств составляет 720,7 млн. руб. или 98,8% от общего объема бюджета;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- Муниципальное учреждение «Дума города Тулуна», объем выделяемых средств 8,5 млн. руб. или   1,2% от общего объема бюджета.</w:t>
      </w:r>
    </w:p>
    <w:p w:rsidR="005B7BD9" w:rsidRPr="00C15C66" w:rsidRDefault="005B7BD9" w:rsidP="000B4619">
      <w:pPr>
        <w:jc w:val="both"/>
        <w:rPr>
          <w:b/>
          <w:sz w:val="22"/>
          <w:szCs w:val="22"/>
        </w:rPr>
      </w:pPr>
      <w:r w:rsidRPr="00C15C66">
        <w:rPr>
          <w:b/>
          <w:i/>
          <w:sz w:val="22"/>
          <w:szCs w:val="22"/>
        </w:rPr>
        <w:tab/>
      </w:r>
      <w:r w:rsidRPr="00C15C66">
        <w:rPr>
          <w:b/>
          <w:sz w:val="22"/>
          <w:szCs w:val="22"/>
        </w:rPr>
        <w:t>Главные распорядители бюджетных средств в ведомственной структуре  определены в нарушение статей 6, 38.1,158  БК РФ, поскольку не имеют ведомственной подчиненности.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>Бюджетные заявки главных распорядителей бюджетных средств на 2014 год включены в проект местного бюджета не в полном объеме, что связано, прежде всего, с неправильным подходом к планированию  бюджета города.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Структура  расходов местного бюджета на 2014 год и на плановый период  (2015-2016гг) представлена  программными мероприятиями и непрограммными направлениями деятельности. При этом доля программных  расходов в общем объеме расходов местного бюджета составляет 89,8% или  644,6 млн. руб., непрограммные расходы составляют 10,2% или  84,6 млн.рублей.  </w:t>
      </w:r>
    </w:p>
    <w:p w:rsidR="005B7BD9" w:rsidRPr="00C15C66" w:rsidRDefault="005B7BD9" w:rsidP="00C15C66">
      <w:pPr>
        <w:tabs>
          <w:tab w:val="left" w:pos="4005"/>
        </w:tabs>
        <w:jc w:val="both"/>
        <w:rPr>
          <w:sz w:val="16"/>
          <w:szCs w:val="16"/>
        </w:rPr>
      </w:pPr>
      <w:r>
        <w:rPr>
          <w:sz w:val="22"/>
          <w:szCs w:val="22"/>
        </w:rPr>
        <w:tab/>
      </w:r>
    </w:p>
    <w:p w:rsidR="005B7BD9" w:rsidRPr="00C15C66" w:rsidRDefault="005B7BD9" w:rsidP="00F00A48">
      <w:pPr>
        <w:jc w:val="center"/>
        <w:rPr>
          <w:b/>
          <w:sz w:val="22"/>
          <w:szCs w:val="22"/>
        </w:rPr>
      </w:pPr>
      <w:r w:rsidRPr="00C15C66">
        <w:rPr>
          <w:b/>
          <w:sz w:val="22"/>
          <w:szCs w:val="22"/>
        </w:rPr>
        <w:t>4.1   Анализ программной структуры расходов местного бюджета</w:t>
      </w:r>
    </w:p>
    <w:p w:rsidR="005B7BD9" w:rsidRPr="00C15C66" w:rsidRDefault="005B7BD9" w:rsidP="000B4619">
      <w:pPr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ab/>
        <w:t>В бюджет МО «город Тулун» на 2014 год и плановый период (2015-2016гг) включены расходы на реализацию 15-ти  муниципальных программ, утвержденных постановлениями администрации городского округа от 30.10.2013г, 31.10.2013г, 01.11.2013 года, вступающих в силу с 01 января 2014 года.  Данные постановления администрации городского округа об утверждении муниципальных программ города Тулуна  являются муниципальными правовыми актами.</w:t>
      </w:r>
    </w:p>
    <w:p w:rsidR="005B7BD9" w:rsidRPr="00C15C66" w:rsidRDefault="005B7BD9" w:rsidP="000B4619">
      <w:pPr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ab/>
        <w:t xml:space="preserve">Статьей 46 Устава муниципального образования – «город Тулун» установлено, что опубликование (обнародование) муниципальных правовых актов осуществляется  в печатном средстве  массовой информации, учреждаемом органами местного самоуправления города Тулуна (примечание: официальным печатным изданием в МО «город Тулун» является газета «Тулунский вестник»); муниципальные правовые акты города Тулуна опубликовываются   в течение месяца с момента их подписания.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b/>
          <w:sz w:val="22"/>
          <w:szCs w:val="22"/>
          <w:lang w:eastAsia="en-US"/>
        </w:rPr>
        <w:t>В нарушение статьи 46 Устава</w:t>
      </w:r>
      <w:r w:rsidRPr="00C15C66">
        <w:rPr>
          <w:sz w:val="22"/>
          <w:szCs w:val="22"/>
          <w:lang w:eastAsia="en-US"/>
        </w:rPr>
        <w:t xml:space="preserve"> муниципального образования – «город Тулун» администрацией города на момент подготовки настоящего заключения </w:t>
      </w:r>
      <w:r w:rsidRPr="00C15C66">
        <w:rPr>
          <w:b/>
          <w:sz w:val="22"/>
          <w:szCs w:val="22"/>
          <w:lang w:eastAsia="en-US"/>
        </w:rPr>
        <w:t>не опубликованы  в газете «Тулунский вестник» следующие  муниципальные программы: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«</w:t>
      </w:r>
      <w:r w:rsidRPr="00C15C66">
        <w:rPr>
          <w:b/>
          <w:sz w:val="22"/>
          <w:szCs w:val="22"/>
          <w:lang w:eastAsia="en-US"/>
        </w:rPr>
        <w:t>Охрана здоровья населения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30.10.2013г № 1961), «</w:t>
      </w:r>
      <w:r w:rsidRPr="00C15C66">
        <w:rPr>
          <w:b/>
          <w:sz w:val="22"/>
          <w:szCs w:val="22"/>
          <w:lang w:eastAsia="en-US"/>
        </w:rPr>
        <w:t>Молодежь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30.10.2013г № 1963), «</w:t>
      </w:r>
      <w:r w:rsidRPr="00C15C66">
        <w:rPr>
          <w:b/>
          <w:sz w:val="22"/>
          <w:szCs w:val="22"/>
          <w:lang w:eastAsia="en-US"/>
        </w:rPr>
        <w:t>Физическая культура и спорт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31.10.2013г № 1975), «</w:t>
      </w:r>
      <w:r w:rsidRPr="00C15C66">
        <w:rPr>
          <w:b/>
          <w:sz w:val="22"/>
          <w:szCs w:val="22"/>
          <w:lang w:eastAsia="en-US"/>
        </w:rPr>
        <w:t>Транспортное обслуживание населения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31.10.2013г № 1976), «</w:t>
      </w:r>
      <w:r w:rsidRPr="00C15C66">
        <w:rPr>
          <w:b/>
          <w:sz w:val="22"/>
          <w:szCs w:val="22"/>
          <w:lang w:eastAsia="en-US"/>
        </w:rPr>
        <w:t>Охрана окружающей среды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01.11.2013г № 1987), «</w:t>
      </w:r>
      <w:r w:rsidRPr="00C15C66">
        <w:rPr>
          <w:b/>
          <w:sz w:val="22"/>
          <w:szCs w:val="22"/>
          <w:lang w:eastAsia="en-US"/>
        </w:rPr>
        <w:t>Городские дороги»</w:t>
      </w:r>
      <w:r w:rsidRPr="00C15C66">
        <w:rPr>
          <w:sz w:val="22"/>
          <w:szCs w:val="22"/>
          <w:lang w:eastAsia="en-US"/>
        </w:rPr>
        <w:t xml:space="preserve"> (утверждена постановлением администрации от 01.11.2013г № 1989), «</w:t>
      </w:r>
      <w:r w:rsidRPr="00C15C66">
        <w:rPr>
          <w:b/>
          <w:sz w:val="22"/>
          <w:szCs w:val="22"/>
          <w:lang w:eastAsia="en-US"/>
        </w:rPr>
        <w:t>Градостроительство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01.11.2013г № 1992), «</w:t>
      </w:r>
      <w:r w:rsidRPr="00C15C66">
        <w:rPr>
          <w:b/>
          <w:sz w:val="22"/>
          <w:szCs w:val="22"/>
          <w:lang w:eastAsia="en-US"/>
        </w:rPr>
        <w:t>Образование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01.11.2013г № 1993), «</w:t>
      </w:r>
      <w:r w:rsidRPr="00C15C66">
        <w:rPr>
          <w:b/>
          <w:sz w:val="22"/>
          <w:szCs w:val="22"/>
          <w:lang w:eastAsia="en-US"/>
        </w:rPr>
        <w:t>Поддержка отдельных категорий  граждан и социально-ориентированных некоммерческих организаций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01.11.2013г № 1994), «</w:t>
      </w:r>
      <w:r w:rsidRPr="00C15C66">
        <w:rPr>
          <w:b/>
          <w:sz w:val="22"/>
          <w:szCs w:val="22"/>
          <w:lang w:eastAsia="en-US"/>
        </w:rPr>
        <w:t>Доступное жильё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01.11.2013г № 1997), «</w:t>
      </w:r>
      <w:r w:rsidRPr="00C15C66">
        <w:rPr>
          <w:b/>
          <w:sz w:val="22"/>
          <w:szCs w:val="22"/>
          <w:lang w:eastAsia="en-US"/>
        </w:rPr>
        <w:t>Жилищно-коммунальное-хозяйство</w:t>
      </w:r>
      <w:r w:rsidRPr="00C15C66">
        <w:rPr>
          <w:sz w:val="22"/>
          <w:szCs w:val="22"/>
          <w:lang w:eastAsia="en-US"/>
        </w:rPr>
        <w:t>» (утверждена постановлением администрации от 01.11.2013г № 1998), «</w:t>
      </w:r>
      <w:r w:rsidRPr="00C15C66">
        <w:rPr>
          <w:b/>
          <w:sz w:val="22"/>
          <w:szCs w:val="22"/>
          <w:lang w:eastAsia="en-US"/>
        </w:rPr>
        <w:t>Совершенствование механизмов экономического развития муниципального образования – «город Тулун»</w:t>
      </w:r>
      <w:r w:rsidRPr="00C15C66">
        <w:rPr>
          <w:sz w:val="22"/>
          <w:szCs w:val="22"/>
          <w:lang w:eastAsia="en-US"/>
        </w:rPr>
        <w:t xml:space="preserve"> (утверждена постановлением администрации от 01.11.2013г № 1999).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В газете «Тулунский вестник» № 52 (449) от 28.11.2013г были опубликованы три муниципальных программы, а именно: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 МП «Труд» на 2014-2018 годы (утверждена постановлением администрации от 30.10.2013г № 1958), 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МП «Культура» на 2014-2018 годы (утверждена постановлением администрации от 30.10.2013г № 1959),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МП «Обеспечение комплексных мер безопасности» на 2014-2018 годы (утверждена постановлением администрации от 30.10.2013г № 1960).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В соответствии с частью 2 ст.179 Бюджетного кодекса РФ  муниципальные программы, 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Пунктом 3.10 Положения о порядке принятия решений о разработке муниципальных программ города Тулуна и их формирования и реализации, утвержденного постановлением администрации городского округа от 20.08.2013г № 1606,  муниципальные программы утверждаются администрацией городского округа не позднее, чем за 10 календарных дней до дня внесения проекта местного бюджета в Думу городского округа.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В силу части 2 статьи 157 Бюджетного кодекса РФ, ч.2 ст.9 Федерального закона от 07.02.2011г № 6-ФЗ «Об общих принципах организации и деятельности  контрольно-счетных органов субъектов РФ и муниципальных образований» контрольно-счетные органы муниципальных образований  осуществляют бюджетные полномочия по экспертизе проектов решений о бюджетах, экспертизе муниципальных программ.</w:t>
      </w:r>
    </w:p>
    <w:p w:rsidR="005B7BD9" w:rsidRPr="00C15C66" w:rsidRDefault="005B7BD9" w:rsidP="000B4619">
      <w:pPr>
        <w:ind w:firstLine="709"/>
        <w:jc w:val="both"/>
        <w:rPr>
          <w:b/>
          <w:sz w:val="22"/>
          <w:szCs w:val="22"/>
          <w:lang w:eastAsia="en-US"/>
        </w:rPr>
      </w:pPr>
      <w:r w:rsidRPr="00C15C66">
        <w:rPr>
          <w:b/>
          <w:sz w:val="22"/>
          <w:szCs w:val="22"/>
          <w:lang w:eastAsia="en-US"/>
        </w:rPr>
        <w:t>В нарушение</w:t>
      </w:r>
      <w:r w:rsidRPr="00C15C66">
        <w:rPr>
          <w:sz w:val="22"/>
          <w:szCs w:val="22"/>
          <w:lang w:eastAsia="en-US"/>
        </w:rPr>
        <w:t xml:space="preserve"> части 2 статьи 157 Бюджетного кодекса РФ, ч.2 ст.9 Федерального закона от 07.02.2011г № 6-ФЗ, пункта 6 раздела 2 Положения о бюджетном процессе в муниципальном образовании – «город Тулун» проекты муниципальных программ </w:t>
      </w:r>
      <w:r w:rsidRPr="00C15C66">
        <w:rPr>
          <w:b/>
          <w:sz w:val="22"/>
          <w:szCs w:val="22"/>
          <w:lang w:eastAsia="en-US"/>
        </w:rPr>
        <w:t xml:space="preserve">не были представлены администрацией городского округа на экспертизу в КСП г.Тулуна. </w:t>
      </w:r>
    </w:p>
    <w:p w:rsidR="005B7BD9" w:rsidRPr="00C15C66" w:rsidRDefault="005B7BD9" w:rsidP="000B4619">
      <w:pPr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В связи с вступлением в силу с 01 января 2014 года муниципальной программы  города Тулуна «Доступное жильё», утвержденной постановлением администрации городского округа от 01.11.2013г № 1997,  Думе городского округа </w:t>
      </w:r>
      <w:r w:rsidRPr="00C15C66">
        <w:rPr>
          <w:b/>
          <w:sz w:val="22"/>
          <w:szCs w:val="22"/>
          <w:lang w:eastAsia="en-US"/>
        </w:rPr>
        <w:t>необходимо принять нормативный правовой акт  о признании утратившими силу</w:t>
      </w:r>
      <w:r w:rsidRPr="00C15C66">
        <w:rPr>
          <w:sz w:val="22"/>
          <w:szCs w:val="22"/>
          <w:lang w:eastAsia="en-US"/>
        </w:rPr>
        <w:t xml:space="preserve"> с 01.01.2014г  решений Думы об утверждении муниципальной целевой программы «Переселение граждан из ветхого и аварийного жилищного  фонда в муниципальном образовании – «город Тулун» и внесении изменений в программу (см. рекомендации раздела 5 Заключения).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Анализ программных расходов произведен на основе  расчетов бюджетных ассигнований  главных распорядителей бюджетных средств на очередной финансовый год и на плановый период 2015 и 2016 годов, подготовленных в соответствии с порядком и методикой планирования  бюджетных ассигнований  местного бюджета, и представлен в таблице №1.                 </w:t>
      </w:r>
    </w:p>
    <w:p w:rsidR="005B7BD9" w:rsidRPr="00C15C66" w:rsidRDefault="005B7BD9" w:rsidP="00002E37">
      <w:pPr>
        <w:jc w:val="center"/>
        <w:rPr>
          <w:b/>
          <w:sz w:val="22"/>
          <w:szCs w:val="22"/>
          <w:lang w:eastAsia="en-US"/>
        </w:rPr>
      </w:pPr>
      <w:r w:rsidRPr="00C15C66">
        <w:rPr>
          <w:b/>
          <w:sz w:val="22"/>
          <w:szCs w:val="22"/>
          <w:lang w:eastAsia="en-US"/>
        </w:rPr>
        <w:t>Анализ  ресурсного обеспечения муниципальных программ на 2014 год (тыс.руб.)</w:t>
      </w:r>
    </w:p>
    <w:p w:rsidR="005B7BD9" w:rsidRPr="00C15C66" w:rsidRDefault="005B7BD9" w:rsidP="000B4619">
      <w:pPr>
        <w:ind w:firstLine="708"/>
        <w:jc w:val="right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Таблица 1</w:t>
      </w:r>
    </w:p>
    <w:p w:rsidR="005B7BD9" w:rsidRPr="00C15C66" w:rsidRDefault="005B7BD9" w:rsidP="000B4619">
      <w:pPr>
        <w:ind w:firstLine="708"/>
        <w:jc w:val="right"/>
        <w:rPr>
          <w:sz w:val="22"/>
          <w:szCs w:val="22"/>
          <w:u w:val="single"/>
          <w:lang w:eastAsia="en-US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8"/>
        <w:gridCol w:w="1620"/>
        <w:gridCol w:w="1620"/>
        <w:gridCol w:w="1577"/>
        <w:gridCol w:w="1303"/>
      </w:tblGrid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Наименование  муниципальной программы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Предусмотрено программой</w:t>
            </w: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на 2014 год</w:t>
            </w: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:rsidR="005B7BD9" w:rsidRPr="00C15C66" w:rsidRDefault="005B7BD9" w:rsidP="00002E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Предусмотрено проектом бюджета на 2014 год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%</w:t>
            </w: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ресурсного</w:t>
            </w: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</w:t>
            </w:r>
            <w:r w:rsidRPr="00C15C66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Отклоне-ние (гр.3-гр.2)</w:t>
            </w: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(+;-)</w:t>
            </w: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«Совершенствование механизмов экономического развития муниципального образования – «город Тулун»» на 2014-2018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2815,9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2595,9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92,2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-220,0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«Труд» на 2014 -2018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680,3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680,3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«Образование» на 2014 –2018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569283,1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467166,8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82,1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-102116,3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«Культура» на 2014 –2018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40628,7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34104,9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83,9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-6523,8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«Молодежь» на 2014 –2018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«Доступное жилье» на 2014 –2018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20668,7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16668,7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-4000,0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 xml:space="preserve">«Физическая культура и спорт» на 2014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C15C66">
              <w:rPr>
                <w:sz w:val="22"/>
                <w:szCs w:val="22"/>
                <w:lang w:eastAsia="en-US"/>
              </w:rPr>
              <w:t xml:space="preserve"> 2018</w:t>
            </w:r>
            <w:r>
              <w:rPr>
                <w:sz w:val="22"/>
                <w:szCs w:val="22"/>
                <w:lang w:eastAsia="en-US"/>
              </w:rPr>
              <w:t xml:space="preserve"> гг.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33780,0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33080,0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-700,0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«Охрана здоровья населения» на 2014 - 2018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1549,3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1049,3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67,7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-500,0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«Обеспечение комплексных мер безопасности» на 2014 -2018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1392,4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1392,4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«Поддержка отдельных категорий граждан и социально ориентированных некоммерческих организаций» на 2014 - 2018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41163,8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41163,8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«Транспортное обслуживание населения» на 2014 - 2018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36,5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-47,0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«Жилищно - коммунальное хозяйство» на 2014 -2018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61822,3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12414,3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20,1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-49408,0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«Охрана окружающей среды» на 2014 -2018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4889,4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4889,4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«Городские дороги» на 2014 -2018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26555,0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26555,0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«Градостроительство» на 2014 -2018 годы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3103,31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2353,3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75,8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-750,01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15C66">
              <w:rPr>
                <w:b/>
                <w:sz w:val="22"/>
                <w:szCs w:val="22"/>
                <w:lang w:eastAsia="en-US"/>
              </w:rPr>
              <w:t>Итого расходы по муниципальным  программам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15C66">
              <w:rPr>
                <w:b/>
                <w:sz w:val="22"/>
                <w:szCs w:val="22"/>
                <w:lang w:eastAsia="en-US"/>
              </w:rPr>
              <w:t>808906,21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15C66">
              <w:rPr>
                <w:b/>
                <w:sz w:val="22"/>
                <w:szCs w:val="22"/>
                <w:lang w:eastAsia="en-US"/>
              </w:rPr>
              <w:t>644641,0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15C66">
              <w:rPr>
                <w:b/>
                <w:sz w:val="22"/>
                <w:szCs w:val="22"/>
                <w:lang w:eastAsia="en-US"/>
              </w:rPr>
              <w:t>79,7</w:t>
            </w: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15C66">
              <w:rPr>
                <w:b/>
                <w:sz w:val="22"/>
                <w:szCs w:val="22"/>
                <w:lang w:eastAsia="en-US"/>
              </w:rPr>
              <w:t>-164265,21</w:t>
            </w:r>
          </w:p>
        </w:tc>
      </w:tr>
      <w:tr w:rsidR="005B7BD9" w:rsidRPr="00C15C66" w:rsidTr="00C15C66">
        <w:trPr>
          <w:trHeight w:val="428"/>
        </w:trPr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5B7BD9" w:rsidRPr="00C15C66" w:rsidRDefault="005B7BD9" w:rsidP="00741E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5C66">
              <w:rPr>
                <w:b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98036,1</w:t>
            </w:r>
          </w:p>
        </w:tc>
        <w:tc>
          <w:tcPr>
            <w:tcW w:w="1620" w:type="dxa"/>
            <w:vAlign w:val="bottom"/>
          </w:tcPr>
          <w:p w:rsidR="005B7BD9" w:rsidRPr="00C15C66" w:rsidRDefault="005B7BD9" w:rsidP="00741E8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C15C66">
              <w:rPr>
                <w:bCs/>
                <w:sz w:val="22"/>
                <w:szCs w:val="22"/>
                <w:lang w:eastAsia="en-US"/>
              </w:rPr>
              <w:t>84 551,6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86,2</w:t>
            </w:r>
          </w:p>
        </w:tc>
        <w:tc>
          <w:tcPr>
            <w:tcW w:w="1303" w:type="dxa"/>
            <w:vAlign w:val="bottom"/>
          </w:tcPr>
          <w:p w:rsidR="005B7BD9" w:rsidRPr="00C15C66" w:rsidRDefault="005B7BD9" w:rsidP="00741E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15C66">
              <w:rPr>
                <w:bCs/>
                <w:sz w:val="22"/>
                <w:szCs w:val="22"/>
                <w:lang w:eastAsia="en-US"/>
              </w:rPr>
              <w:t>-13484,5</w:t>
            </w:r>
          </w:p>
        </w:tc>
      </w:tr>
      <w:tr w:rsidR="005B7BD9" w:rsidRPr="00C15C66" w:rsidTr="00C15C66">
        <w:tc>
          <w:tcPr>
            <w:tcW w:w="4968" w:type="dxa"/>
          </w:tcPr>
          <w:p w:rsidR="005B7BD9" w:rsidRPr="00C15C66" w:rsidRDefault="005B7BD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15C66">
              <w:rPr>
                <w:b/>
                <w:sz w:val="22"/>
                <w:szCs w:val="22"/>
                <w:lang w:eastAsia="en-US"/>
              </w:rPr>
              <w:t>Всего расходы бюджета</w:t>
            </w: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5C66">
              <w:rPr>
                <w:sz w:val="22"/>
                <w:szCs w:val="22"/>
                <w:lang w:eastAsia="en-US"/>
              </w:rPr>
              <w:t>729192,6</w:t>
            </w:r>
          </w:p>
        </w:tc>
        <w:tc>
          <w:tcPr>
            <w:tcW w:w="1577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</w:tcPr>
          <w:p w:rsidR="005B7BD9" w:rsidRPr="00C15C66" w:rsidRDefault="005B7B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B7BD9" w:rsidRPr="00C15C66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Объем финансирования программных мероприятий на 2014-2018 годы по источникам сформирован из средств  местного бюджета в сумме 1468597,09 тыс.руб. (32%), средств областного бюджета в сумме  2954693,19 тыс.руб. (65%), средств федерального бюджета в сумме 98513,8 тыс.руб. (2 %), иных источников в сумме 32029,0 тыс.руб. (1%).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На выполнение мероприятий  15-ти муниципальных программ проектом бюджета на 2014 год предусмотрено ресурсное обеспечение  в объеме 644641,0 тыс.руб., что  составляет всего 79,7% от потребности, отклонение от  утвержденных программных ресурсов составило минус (-) 164265,21 тыс.руб., в т.ч. по средствам местного бюджета минус (-) 29276,81 тыс.руб., областного бюджета минус (-) 128941,4 тыс.руб., иным источникам минус (-)6047,0 тыс.рублей.</w:t>
      </w:r>
    </w:p>
    <w:p w:rsidR="005B7BD9" w:rsidRPr="00C15C66" w:rsidRDefault="005B7BD9" w:rsidP="000B4619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jc w:val="center"/>
        <w:rPr>
          <w:b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1.Муниципальная программа города Тулуна </w:t>
      </w:r>
      <w:r w:rsidRPr="00C15C66">
        <w:rPr>
          <w:b/>
          <w:sz w:val="22"/>
          <w:szCs w:val="22"/>
          <w:lang w:eastAsia="en-US"/>
        </w:rPr>
        <w:t>«Совершенствование механизмов экономического развития муниципального образования- «город Тулун»</w:t>
      </w:r>
    </w:p>
    <w:p w:rsidR="005B7BD9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Общий планируемый объем финансирования  программы на 2014 -2018 годы  составляет  17197,0 тыс.руб., в том числе за счет средств местного бюджета 10174,2 тыс.руб., областного бюджета -2623,8 тыс.руб., федерального бюджета 4399,0 тыс.рублей. Проектом бюджета ресурсное обеспечение программы на 2014 год предусмотрено за счет средств местного бюджета в объеме 2315,5 тыс.руб. или 100%,  областного бюджета -280,4 тыс.руб. или 56%  от объема, предусмотренного программой (предусмотрено программой500,4тыс.руб.).По подпрограмме «Развитие малого и среднего предпринимательства»  по мероприятию «Оказание поддержки субъектам малого и среднего предпринимательства города Тулуна» ресурсное обеспечение за счет  средств областного бюджета не предусмотрено.</w:t>
      </w:r>
    </w:p>
    <w:p w:rsidR="005B7BD9" w:rsidRPr="00C15C66" w:rsidRDefault="005B7BD9" w:rsidP="000B4619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2.Муниципальная программа «</w:t>
      </w:r>
      <w:r w:rsidRPr="00C15C66">
        <w:rPr>
          <w:b/>
          <w:sz w:val="22"/>
          <w:szCs w:val="22"/>
          <w:lang w:eastAsia="en-US"/>
        </w:rPr>
        <w:t>Труд»</w:t>
      </w:r>
    </w:p>
    <w:p w:rsidR="005B7BD9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Общий планируемый объем финансирования  программы на 2014 -2018 годы  составляет  3426,5,0 тыс.руб., в том числе за счет средств местного бюджета 240,0 тыс.руб., областного бюджета -3186,5 тыс.рублей. Ресурсное обеспечение программы на 2014 год предусмотрено за счет средств местного бюджета в объеме 43,0 тыс.руб. или 100%,  областного бюджета -637,3 тыс.руб. или 100%  от объема, предусмотренного программой.</w:t>
      </w:r>
    </w:p>
    <w:p w:rsidR="005B7BD9" w:rsidRPr="00C15C66" w:rsidRDefault="005B7BD9" w:rsidP="000B4619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i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3.Муниципальная программа </w:t>
      </w:r>
      <w:r w:rsidRPr="00C15C66">
        <w:rPr>
          <w:b/>
          <w:sz w:val="22"/>
          <w:szCs w:val="22"/>
          <w:lang w:eastAsia="en-US"/>
        </w:rPr>
        <w:t>«Образование»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Общий планируемый объем финансирования  программы на 2014 -2018 годы  составляет  3023926,1 тыс.руб., в том числе за счет средств местного бюджета 773414,0 тыс.руб., областного бюджета -2250512,1 тыс.рублей. Ресурсное обеспечение программы на 2014 год предусмотрено за счет средств местного бюджета в объеме 120623,8 тыс.руб. или 88% (предусмотрено программой 136726,7 тыс.руб.),  областного бюджета -346543,0 тыс.руб. или 80%  от объема, предусмотренного программой (предусмотрено программой 432556,4тыс.руб.).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 подпрограмме «Общее образование» проектом бюджета предусмотрено ресурсное обеспечение в сумме 405556,2 тыс.руб. или 80% от потребности (предусмотрено программой 506795,1тыс.руб.), в т.ч.  ресурсное обеспечение за счет  средств  местного бюджета составляет 59013,2 тыс.руб. или 79,5% (по программе 74238,7 тыс.руб.), областного бюджета 346543,0 тыс.руб. или 80% (по программе 405556,2 тыс.руб.).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 подпрограмме «Дополнительное образование» предусмотрено ресурсное обеспечение в сумме 56500,8 тыс.руб. или 98% (предусмотрено программой 57378,2 тыс.руб.) за счет средств местного бюджета.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 основному мероприятию «Организационно-методологическое обеспечение деятельности образовательных учреждений» предусмотрено 5109,8 тыс.рублей или 100% за счет средств местного бюджета (примечание: данные средства предусмотрены на содержание МУ «Методический центр»)</w:t>
      </w:r>
      <w:r>
        <w:rPr>
          <w:sz w:val="22"/>
          <w:szCs w:val="22"/>
          <w:lang w:eastAsia="en-US"/>
        </w:rPr>
        <w:t>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4.Муниципальная программа «</w:t>
      </w:r>
      <w:r w:rsidRPr="00C15C66">
        <w:rPr>
          <w:b/>
          <w:sz w:val="22"/>
          <w:szCs w:val="22"/>
          <w:lang w:eastAsia="en-US"/>
        </w:rPr>
        <w:t>Культура»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Общий планируемый объем финансирования  программы на 2014 -2018 годы  составляет  280824,3 тыс.руб., в том числе за счет средств местного бюджета 274629,3 тыс.руб., областного бюджета  6195,0 тыс.рублей. Ресурсное обеспечение программы на 2014 год предусмотрено за счет средств местного бюджета в объеме 32865,9 тыс.руб.  или 83% от потребности (по программе предусмотрено 39389,7 тыс.руб.),  областного бюджета -1239,0 тыс.руб. или 100%  от объема, предусмотренного программой.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  мероприятию «Библиотечное обслуживание населения» ресурсное обеспечение за счет средств местного бюджета составляет 13175,8 тыс.руб. или 83% (предусмотрено программой 15899,4 тыс.руб.).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  мероприятию «Культурное наследие»ресурсное обеспечение составляет за счет средств местного бюджета 3648,5 тыс.руб. или 81% от потребности (предусмотрено программой 4513,3 тыс.руб.).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 мероприятию «Организация досуга» ресурсное обеспечение составляет за счет средств местного бюджета 16041,6 тыс.руб. или 85% от потребности (предусмотрено программой 18854,9 тыс.руб.).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 мероприятию «Развитие инфраструктуры учреждений культуры»ресурсное обеспечение  за счет средств местного бюджета не предусмотрено.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 мероприятию «Осуществление государственных полномочий по хранению, комплектованию, учету и использованию архивных документов» ресурсное обеспечение составляет за счет средств областного бюджета 1239,0 тыс.руб. или  100%  от предусмотренных программой средств.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5. Муниципальная программа «</w:t>
      </w:r>
      <w:r w:rsidRPr="00C15C66">
        <w:rPr>
          <w:b/>
          <w:sz w:val="22"/>
          <w:szCs w:val="22"/>
          <w:lang w:eastAsia="en-US"/>
        </w:rPr>
        <w:t>Молодежь»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Общий планируемый объем финансирования  программы на 2014-2018 годы  составляет  2759,3 тыс.руб.(за счет средств местного бюджета). Ресурсное обеспечение программы на 2014 год предусмотрено за счет средств местного бюджета в сумме 500,0 тыс.руб. или 100% от объема предусмотренного программой.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6.Муниципальная программа «</w:t>
      </w:r>
      <w:r w:rsidRPr="00C15C66">
        <w:rPr>
          <w:b/>
          <w:sz w:val="22"/>
          <w:szCs w:val="22"/>
          <w:lang w:eastAsia="en-US"/>
        </w:rPr>
        <w:t>Доступное жилье»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Общий планируемый объем финансирования  программы на период 2014 -2018 годы  составляет  92773,4 тыс.руб., в том числе за счет средств местного бюджета 26513,8 тыс.руб., областного бюджета 59615,6 тыс.руб., федерального бюджета 6644 тыс.рублей.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Проектом бюджета ресурсное обеспечение программы на 2014 год предусмотрено за счет средств местного бюджета в объеме 3585,9 тыс.руб. или 68% от потребности (по программе 5285,9 тыс.руб.), за счет средств областного бюджета в объеме 13082,8 тыс.руб. или 85% от потребности (по программе 15382,8тыс.руб.).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Подпрограмма  «Молодым семьям – доступное жилье»: ресурсное обеспечение составляет 2388,4 тыс.руб. или 100% за счет средств местного бюджета,ресурсное обеспечение за счет  средств областного бюджета не предусмотрено.</w:t>
      </w:r>
    </w:p>
    <w:p w:rsidR="005B7BD9" w:rsidRPr="00C15C66" w:rsidRDefault="005B7BD9" w:rsidP="0052117D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Подпрограмма  «Переселение граждан из ветхого и аварийного жилищного фонда»: ресурсное обеспечение составляет 300,0 тыс.руб. или 15% (по программе 2000,0 тыс.руб.) за счет средств местного бюджета, ресурсное обеспечение за счет  средств областного бюджета предусмотрено в сумме 3816,4 тыс.руб. или 100%.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Основное мероприятие  «Содержание муниципального жилищного фонда»: ресурсное обеспечение составляет 897,5 тыс.руб. или 100% за счет средств местного бюджета.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Основное мероприятие «Исполнение судебных решений 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родителей»: ресурсное обеспечение составляет 9266,4 тыс.руб. или 100% за счет  средств областного бюджета.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7.Муниципальная программа «</w:t>
      </w:r>
      <w:r w:rsidRPr="00C15C66">
        <w:rPr>
          <w:b/>
          <w:sz w:val="22"/>
          <w:szCs w:val="22"/>
          <w:lang w:eastAsia="en-US"/>
        </w:rPr>
        <w:t>Физическая культура и спорт»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Общий планируемый объем финансирования  программы на 2014 -2018 годы  составляет 90076,4 тыс.руб., в том числе за счет средств местного бюджета 16076,4 тыс.руб., областного бюджета74000,0 тыс.рублей.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 Ресурсное обеспечение программы на 2014 год предусмотрено за счет средств местного бюджета в сумме 33080,0 тыс.рублей или 98% от потребности (по программе 33780,0 тыс.руб.), за счет средств областного бюджета  в сумме 30000,0 тыс.руб. или 100%  от объема, предусмотренного программой.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Основное мероприятие «Организация проведения физкультурно-оздоровительных и спортивных мероприятий»: ресурсное обеспечение составляет 699,0 тыс.руб. или 74% (по программе 949,0 тыс.руб.) за счет средств местного бюджета.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Основное мероприятие «Спортивные достижения»: ресурсное обеспечение составляет 801,0 тыс.руб.  или 76% (по программе 1051,0 тыс.руб.) за счет средств местного бюджета.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Основное мероприятие «Развитие спортивной инфраструктуры»:ресурсное обеспечение составляет 31580,0 тыс.руб. или  99% (по программе 31780,0 тыс.руб.),  в т.ч. 1580,0 тыс.руб. или 89% (по программе 1780,0 тыс.руб.) за счет средств местного бюджета,  30000,0 тыс.руб.  или 100% за счет средств областного бюджета.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8.Муниципальная программа «</w:t>
      </w:r>
      <w:r w:rsidRPr="00C15C66">
        <w:rPr>
          <w:b/>
          <w:sz w:val="22"/>
          <w:szCs w:val="22"/>
          <w:lang w:eastAsia="en-US"/>
        </w:rPr>
        <w:t>Охрана здоровья»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Общий планируемый объем финансирования  программы на 2014 -2018 годы  составляет 14925,4 тыс.руб., в том числе за счет средств местного бюджета 14411,9 тыс.руб., областного бюджета 513,5 тыс.рублей.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Ресурсное обеспечение программы на 2014 год предусмотрено за счет средств местного бюджета в сумме 917,7 тыс.руб. или 65% (по программе 1417,7 тыс.руб.), за счет средств областного бюджета в сумме 131,6 тыс.руб. или 100%  от объема, предусмотренного программой.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Основное мероприятие «Создание благоприятных условий в целях привлечения медицинских работников и фармацевтических работников для работы в медицинских учреждениях, расположенных на территории города Тулуна»:  ресурсное обеспечение составляет за счет средств местного бюджета 499,7 тыс.руб. или 50% от предусмотренных программой (по программе 999,7 тыс.руб.).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9.Муниципальная программа «</w:t>
      </w:r>
      <w:r w:rsidRPr="00C15C66">
        <w:rPr>
          <w:b/>
          <w:sz w:val="22"/>
          <w:szCs w:val="22"/>
          <w:lang w:eastAsia="en-US"/>
        </w:rPr>
        <w:t>Обеспечение комплексных мер безопасности»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Общий планируемый объем финансирования  программы на 2014 -2018 годы  составляет 7527,58 тыс.руб., в том числе за счет средств местного бюджета 4341,08 тыс.руб., областного бюджета 3186,5 тыс.рублей.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 Ресурсное обеспечение программы на 2014 год предусмотрено за счет средств местного бюджета в сумме 755,1 тыс.руб. или 100%, областного бюджета – в сумме 637,3 тыс.руб., что также составляет  100% от объема, предусмотренного программой.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10.Муниципальная программа «</w:t>
      </w:r>
      <w:r w:rsidRPr="00C15C66">
        <w:rPr>
          <w:b/>
          <w:sz w:val="22"/>
          <w:szCs w:val="22"/>
          <w:lang w:eastAsia="en-US"/>
        </w:rPr>
        <w:t>Поддержка отдельных категорий граждан и социально ориентированных некоммерческих организаций</w:t>
      </w:r>
      <w:r w:rsidRPr="00C15C66">
        <w:rPr>
          <w:sz w:val="22"/>
          <w:szCs w:val="22"/>
          <w:lang w:eastAsia="en-US"/>
        </w:rPr>
        <w:t>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Общий планируемый объем финансирования  программы на 2014 -2018 годы  составляет  215187,5 тыс.руб, в том числе за счет средств местного бюджета 34313,5 тыс.руб., областного бюджета 180874,0 тыс.рублей. 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Проектом бюджета ресурсное обеспечение программы на 2014 год предусмотрено за счет средств местного бюджета сумме 6051,8 тыс.руб. или 100%,  за счет средств областного бюджета  в сумме 35112,0 тыс.руб. или 100%  от объема, предусмотренного программой.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i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11.Муниципальная программа «</w:t>
      </w:r>
      <w:r w:rsidRPr="00C15C66">
        <w:rPr>
          <w:b/>
          <w:sz w:val="22"/>
          <w:szCs w:val="22"/>
          <w:lang w:eastAsia="en-US"/>
        </w:rPr>
        <w:t>Транспортное обслуживание населения»</w:t>
      </w:r>
    </w:p>
    <w:p w:rsidR="005B7BD9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Общий планируемый объем финансирования  программы на 2014 -2018 годы  составляет  16712 тыс.рублей, в том числе за счет средств местного бюджета 4506,0 тыс.рублей, областного бюджета -10177,0 тыс.рублей, иные источники-2029,0 тыс.рублей. Ресурсное обеспечение программы на 2014 год предусмотрено за счет средств местного бюджета в объеме 27,0 тыс.рублей или 100%,  иные источники 47,0 тыс.руб. проектом бюджета не предусмотрены. </w:t>
      </w:r>
    </w:p>
    <w:p w:rsidR="005B7BD9" w:rsidRDefault="005B7BD9" w:rsidP="00C15C66">
      <w:pPr>
        <w:tabs>
          <w:tab w:val="left" w:pos="3390"/>
        </w:tabs>
        <w:ind w:firstLine="708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</w:r>
    </w:p>
    <w:p w:rsidR="005B7BD9" w:rsidRPr="00C15C66" w:rsidRDefault="005B7BD9" w:rsidP="00C15C66">
      <w:pPr>
        <w:tabs>
          <w:tab w:val="left" w:pos="3390"/>
        </w:tabs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i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12.Муниципальная программа «</w:t>
      </w:r>
      <w:r w:rsidRPr="00C15C66">
        <w:rPr>
          <w:b/>
          <w:i/>
          <w:sz w:val="22"/>
          <w:szCs w:val="22"/>
          <w:lang w:eastAsia="en-US"/>
        </w:rPr>
        <w:t>Жилищно-коммунальное хозяйство»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Общий планируемый объем финансирования  программы на 2014 -2018 годы  составляет  320995,9 тыс.руб., в том числе за счет средств местного бюджета 94433,4 тыс.руб., областного бюджета 196526,5 тыс.руб., иных источников 30000,0 тыс.рублей.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Ресурсное обеспечение программы на 2014 год предусмотрено за счет средств местного бюджета в сумме 12382,0 тыс.руб. или 80% от потребности (по программе 15382,0 тыс.руб.), за счет средств  областного бюджета 32,3 тыс.руб. или 0,08% (по программе 40440,3 тыс.руб.), иных источников в объеме 6000,0 тыс.руб. проектом бюджета не предусмотрено.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Подпрограмма  «Чистая вода»:  ресурсное обеспечение составляет 3000,0 тыс.руб. или 60% (по программе 5000,0 тыс.руб.) за счет средств местного бюджета, средства  областного бюджета в объеме 20000,0 тыс.руб. и иные источники в объеме 3000,0 тыс.руб. проектом бюджета не предусмотрены.                  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Подпрограмма  «Модернизация объектов коммунальной инфраструктуры»: ресурсное обеспечение составляет 3000,0 тыс.руб. или 75% (по программе 4000,0 тыс.руб.) за счет средств местного бюджета, средства  областного бюджета в объеме 20000,0 тыс.руб. и иные источники в объеме 3000,0 тыс.руб. проектом бюджета не предусмотрены.                  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Подпрограмма  «Энергосбережение и повышение энергетической эффективности»: ресурсное обеспечение составляет 382,0 тыс.руб. или 100%  за счет средств местного бюджета, средства  областного бюджета  в объеме 408,0 тыс.руб. проектом бюджета не предусмотрены.                  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Подпрограмма «Благоустройство территории»: ресурсное обеспечение составляет  5600,0 тыс.руб. или 100% за счет средств местного бюджета.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Основное мероприятие «Осуществление государственных полномочий в области регулирования тарифов на услуги организаций коммунального комплекса»:ресурсное обеспечение составляет 32,3 тыс.руб. или 100%  за счет средств  областного бюджета.                   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Основное мероприятие «Содержание мест захоронения»: ресурсное обеспечение составляет 400,0 тыс.руб. или 100% за счет средств местного бюджета. 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b/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13. Муниципальная программа </w:t>
      </w:r>
      <w:r w:rsidRPr="00C15C66">
        <w:rPr>
          <w:b/>
          <w:sz w:val="22"/>
          <w:szCs w:val="22"/>
          <w:lang w:eastAsia="en-US"/>
        </w:rPr>
        <w:t>«Охрана окружающей среды»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Общий планируемый объем финансирования  программы на 2014 -2018 годы  составляет  146436,7 тыс.руб., в том числе за счет средств местного бюджета 58965,9 тыс.руб., федерального бюджета 87470,8 тыс.рублей. 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Ресурсное обеспечение программы на 2014 год предусмотрено за счет средств местного бюджета в объеме 4889,4 тыс.руб. или 100%, средства федерального бюджета проектом бюджета не предусмотрены.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14. Муниципальная программа «</w:t>
      </w:r>
      <w:r w:rsidRPr="00C15C66">
        <w:rPr>
          <w:b/>
          <w:sz w:val="22"/>
          <w:szCs w:val="22"/>
          <w:lang w:eastAsia="en-US"/>
        </w:rPr>
        <w:t>Городские дороги»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Общий планируемый объем финансирования программы на 2014-2018 годы составляет 165273,2 тыс.руб., в том числе средства местного бюджета 139715,0 тыс.руб., областного бюджета 25558,2 тыс.рублей. 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Ресурсное обеспечение  программы на 2014 год предусмотрено за счет средств местного бюджета в объеме 26555,0 тыс.руб. или 100%.</w:t>
      </w:r>
    </w:p>
    <w:p w:rsidR="005B7BD9" w:rsidRPr="00C15C66" w:rsidRDefault="005B7BD9" w:rsidP="00F00A48">
      <w:pPr>
        <w:ind w:firstLine="708"/>
        <w:jc w:val="both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ind w:firstLine="708"/>
        <w:jc w:val="center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15. Муниципальная программа  «</w:t>
      </w:r>
      <w:r w:rsidRPr="00C15C66">
        <w:rPr>
          <w:b/>
          <w:sz w:val="22"/>
          <w:szCs w:val="22"/>
          <w:lang w:eastAsia="en-US"/>
        </w:rPr>
        <w:t>Градостроительство»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Общий планируемый объем финансирования программы на 2014-2018 годы составляет 155791,8 тыс.руб., в том числе средства местного бюджета 14103,31 тыс.руб, областного бюджета 141688,49 тыс.рублей.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Ресурсное обеспечение  программы на 2014 год предусмотрено за счет средств местного бюджета в объеме 2353,0 тыс.руб. или 76%.</w:t>
      </w:r>
    </w:p>
    <w:p w:rsidR="005B7BD9" w:rsidRDefault="005B7BD9" w:rsidP="00F00A48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Основное мероприятие «Планировка территорий»: ресурсное обеспечение составляет 250,0 тыс.руб. или 25% предусмотренных программой средств, за счет средств местного бюджета.</w:t>
      </w:r>
    </w:p>
    <w:p w:rsidR="005B7BD9" w:rsidRPr="00C15C66" w:rsidRDefault="005B7BD9" w:rsidP="00F00A48">
      <w:pPr>
        <w:ind w:firstLine="708"/>
        <w:jc w:val="both"/>
        <w:rPr>
          <w:sz w:val="22"/>
          <w:szCs w:val="22"/>
          <w:lang w:eastAsia="en-US"/>
        </w:rPr>
      </w:pPr>
    </w:p>
    <w:p w:rsidR="005B7BD9" w:rsidRPr="00C15C66" w:rsidRDefault="005B7BD9" w:rsidP="00C15C66">
      <w:pPr>
        <w:jc w:val="center"/>
        <w:rPr>
          <w:b/>
          <w:sz w:val="22"/>
          <w:szCs w:val="22"/>
        </w:rPr>
      </w:pPr>
      <w:r w:rsidRPr="00C15C66">
        <w:rPr>
          <w:b/>
          <w:sz w:val="22"/>
          <w:szCs w:val="22"/>
        </w:rPr>
        <w:t>4.2  Анализ непрограммных  направлений деятельности в структуре местного бюджета</w:t>
      </w:r>
    </w:p>
    <w:p w:rsidR="005B7BD9" w:rsidRPr="00C15C66" w:rsidRDefault="005B7BD9" w:rsidP="0090630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Анализ бюджетных ассигнований  на непрограммные направления деятельности, указанных в приложении №7 к проекту решения о  бюджете  в объеме </w:t>
      </w:r>
      <w:r w:rsidRPr="00C15C66">
        <w:rPr>
          <w:b/>
          <w:sz w:val="22"/>
          <w:szCs w:val="22"/>
        </w:rPr>
        <w:t>84 551,6</w:t>
      </w:r>
      <w:r w:rsidRPr="00C15C66">
        <w:rPr>
          <w:sz w:val="22"/>
          <w:szCs w:val="22"/>
        </w:rPr>
        <w:t xml:space="preserve"> тыс.руб. по разделам, подразделам, целевым статьям и видам расходов классификации расходов бюджета на 2014 год,   показал следующее: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В состав бюджетных ассигнований  непрограммных направлений деятельности включены  следующие расходы: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а) на обеспечение деятельности главы муниципального образования - 1945,0 тыс.руб.;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   б) на функционирование  местных администраций  - 68323,5 тыс.руб.;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    в)на функционирование представительного  органа муниципального образования -  5170,4 тыс.руб;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г) на обеспечение деятельности финансовых, налоговых и таможенных органов и органов финансового надзора – 3009,2 тыс.руб.;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   д) на проведение  выборов и референдумов – 2728,5 тыс.руб.;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    е) на  другие  общегосударственные вопросы – 2085,5тыс.руб</w:t>
      </w:r>
    </w:p>
    <w:p w:rsidR="005B7BD9" w:rsidRPr="00C15C66" w:rsidRDefault="005B7BD9" w:rsidP="009615B5">
      <w:pPr>
        <w:ind w:left="708"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(расшифровку см. ниже);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ж)  на профессиональную подготовку кадров – 120,0 тыс.руб.;</w:t>
      </w:r>
    </w:p>
    <w:p w:rsidR="005B7BD9" w:rsidRPr="00C15C66" w:rsidRDefault="005B7BD9" w:rsidP="00F00A48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 з) на обеспечение деятельности  муниципальных учреждений периодической печати -1169,4 тыс.рублей.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b/>
          <w:sz w:val="22"/>
          <w:szCs w:val="22"/>
          <w:u w:val="single"/>
        </w:rPr>
        <w:t>Расходы на общегосударственные  вопросы</w:t>
      </w:r>
      <w:r w:rsidRPr="00C15C66">
        <w:rPr>
          <w:sz w:val="22"/>
          <w:szCs w:val="22"/>
        </w:rPr>
        <w:t xml:space="preserve"> запланированы в объеме  93885,9 тыс.руб.,  в сравнении с действующей редакцией местного бюджета на 2013 год расходы увеличены на 15095,0 тыс.рублей.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При подготовке проекта бюджета на 2014 год не учтена индексация должностных окладов муниципальных служащих  в 1,055 разав соответствии с Указом Губернатора Иркутской области,   так же индексация должностных окладов не учтена при формировании бюджета на плановый период 2015 и 2016 годов  в соответствии с уровнем инфляции (5%), утвержденным федеральным бюджетом на 2014 год.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 По подразделу </w:t>
      </w:r>
      <w:r w:rsidRPr="00C15C66">
        <w:rPr>
          <w:b/>
          <w:sz w:val="22"/>
          <w:szCs w:val="22"/>
        </w:rPr>
        <w:t>0103 «Функционирование законодательных (представительных) органов государственной власти и представительных  органов муниципальных образований</w:t>
      </w:r>
      <w:r w:rsidRPr="00C15C66">
        <w:rPr>
          <w:sz w:val="22"/>
          <w:szCs w:val="22"/>
        </w:rPr>
        <w:t>»  расходы предусмотрены  в объеме 5170,4 тыс.руб., увеличены на 537 тыс. рублей.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По подразделу  </w:t>
      </w:r>
      <w:r w:rsidRPr="00C15C66">
        <w:rPr>
          <w:b/>
          <w:sz w:val="22"/>
          <w:szCs w:val="22"/>
        </w:rPr>
        <w:t>0104  «Функционирование  Правительства РФ, высших исполнительных органов государственной власти  субъектов РФ, местных администраций»</w:t>
      </w:r>
      <w:r w:rsidRPr="00C15C66">
        <w:rPr>
          <w:sz w:val="22"/>
          <w:szCs w:val="22"/>
        </w:rPr>
        <w:t xml:space="preserve">расходы завышены.  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Численность   муниципальных служащихисполнительного органа (администрации городского округа) превышает установленный норматив согласно Методике, утвержденной  приказом Минтруда и занятости Иркутской области от 14.10.2013 № 57-мпр, на 2   штатных единицы. </w:t>
      </w:r>
    </w:p>
    <w:p w:rsidR="005B7BD9" w:rsidRPr="00C15C66" w:rsidRDefault="005B7BD9" w:rsidP="00B9289C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>Дополнительная  численность  вспомогательного персонала (рабочих) администрации городского округа рассчитана не верно, так как   структурные подразделения администрации города располагаются не взданиях, а в отдельных помещениях зданий, которые оборудованы автоматической сигнализацией и соответственно нет потребности в сторожах, также нет необходимости в уборке территории возле здания, где расположено помещение.Соответственно дополнительная численность вспомогательного персонала (рабочих) должна составить 4 единицы уборщиков служебных помещений согласно площади дополнительных помещений, основная численность составляет 8 штатных единиц, всего численность вспомогательного персонала должна составлять 12 штатных единиц. Кроме того, следует отметить, что  ставка уборщика служебных помещений,  в которых располагается  Дума городского округа,  так же должна входить в данный норматив.</w:t>
      </w:r>
    </w:p>
    <w:p w:rsidR="005B7BD9" w:rsidRPr="00C15C66" w:rsidRDefault="005B7BD9" w:rsidP="001620B2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Администрацией города необоснованно введено дополнительно еще 7 штатных единиц вспомогательного персонала (рабочих) с соответствующим ФОТ, часть из которых переведена в технические исполнители, часть в диспетчерскую службу. </w:t>
      </w:r>
    </w:p>
    <w:p w:rsidR="005B7BD9" w:rsidRPr="00C15C66" w:rsidRDefault="005B7BD9" w:rsidP="001620B2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По факту в администрации городского округа за счет средств местного бюджета содержится 78 штатных единиц муниципальных служащих, 16 штатных единиц технических исполнителей,11 штатных единиц вспомогательного персонала  (в т.ч. 5 единиц водителей, 5 единиц уборщиков служебных помещений, 1 единица  рабочего),4 штатных единицы диспетчерской службы, всего (без учета главы муниципального образования) 109 штатных единиц (примечание: по сравнению с 2011 годом численность увеличилась на 9 штатных  единиц !). 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По подразделу </w:t>
      </w:r>
      <w:r w:rsidRPr="00C15C66">
        <w:rPr>
          <w:b/>
          <w:sz w:val="22"/>
          <w:szCs w:val="22"/>
        </w:rPr>
        <w:t>0106</w:t>
      </w:r>
      <w:r w:rsidRPr="00C15C66">
        <w:rPr>
          <w:sz w:val="22"/>
          <w:szCs w:val="22"/>
        </w:rPr>
        <w:t xml:space="preserve"> «Обеспечение деятельности финансовых, налоговых и таможенных органов и органов финансового надзора» расходы запланированы в бюджете в объеме 3009,2 тыс. рублей. Главный распорядитель бюджетных средств - Дума города Тулуна представила в установленный срок  расчет, соответствующий утвержденной Методике, на сумму  4318,0 тыс.рублей. В нарушении статьи 158 БК РФ, Методики   формирования бюджета, финансовый орган  принял расчет  от консультанта  отдела экономики и планирования администрации города, чем нарушил права  ГРБС, определенные бюджетным законодательством.  Бюджетные ассигнования занижены по ГРБС – Дума города Тулуна  на 1309,0 тыс.руб. на содержание муниципальных служащих КСП.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По подразделу </w:t>
      </w:r>
      <w:r w:rsidRPr="00C15C66">
        <w:rPr>
          <w:b/>
          <w:sz w:val="22"/>
          <w:szCs w:val="22"/>
        </w:rPr>
        <w:t xml:space="preserve">0107 </w:t>
      </w:r>
      <w:r w:rsidRPr="00C15C66">
        <w:rPr>
          <w:sz w:val="22"/>
          <w:szCs w:val="22"/>
        </w:rPr>
        <w:t>«Обеспечение  проведение  выборов и референдумов»  запланированы расходы в сумме  2728,5 тыс. рублей.</w:t>
      </w:r>
    </w:p>
    <w:p w:rsidR="005B7BD9" w:rsidRPr="00C15C66" w:rsidRDefault="005B7BD9" w:rsidP="00587244">
      <w:pPr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</w:rPr>
        <w:tab/>
        <w:t xml:space="preserve">По  подразделу </w:t>
      </w:r>
      <w:r w:rsidRPr="00C15C66">
        <w:rPr>
          <w:b/>
          <w:sz w:val="22"/>
          <w:szCs w:val="22"/>
        </w:rPr>
        <w:t xml:space="preserve">0113 </w:t>
      </w:r>
      <w:r w:rsidRPr="00C15C66">
        <w:rPr>
          <w:sz w:val="22"/>
          <w:szCs w:val="22"/>
        </w:rPr>
        <w:t xml:space="preserve">«Другие общегосударственные вопросы» </w:t>
      </w:r>
      <w:r w:rsidRPr="00C15C66">
        <w:rPr>
          <w:sz w:val="22"/>
          <w:szCs w:val="22"/>
          <w:lang w:eastAsia="en-US"/>
        </w:rPr>
        <w:t xml:space="preserve"> администрации городского округа предусмотрены  непрограммные расходы в сумме 1803,9 тыс.руб., из них:на оплату  информации в газете «Земля Тулунская» по договору с ООО «ЛГ Вест» в сумме 300,0 тыс.руб.; 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на оплату телевизионной программы «Пульс города» по договору с ООО «Тулунское телевидение» в сумме 360,0 тыс.руб.;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на оплату  по исполнительному листу по иску Гоменюк П.В. к администрации городского округа в сумме 654,1 тыс. рублей.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Считаем, что указанные расходы в сумме </w:t>
      </w:r>
      <w:r w:rsidRPr="00C15C66">
        <w:rPr>
          <w:b/>
          <w:sz w:val="22"/>
          <w:szCs w:val="22"/>
          <w:lang w:eastAsia="en-US"/>
        </w:rPr>
        <w:t xml:space="preserve">1314,1 тыс. руб. </w:t>
      </w:r>
      <w:r w:rsidRPr="00C15C66">
        <w:rPr>
          <w:sz w:val="22"/>
          <w:szCs w:val="22"/>
          <w:lang w:eastAsia="en-US"/>
        </w:rPr>
        <w:t>необходимо исключить из расходной части бюджета по следующим основаниям: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1) В связи с тем, что администрация городского округа является учредителем официального печатного издания – газеты  «Тулунский вестник» (примечание: на содержание редакции и печать газеты «Тулунский вестник» в бюджете на 2014 год предусмотрены средства в сумме 1169,4 тыс. руб.), имеет возможность освещать свою деятельность в данном печатном издании, а также имеет официальный сайт в сети интернет, расходы на освещение деятельности  в коммерческом печатном издании – газете «Земля Тулунская», а также   оплата телевизионной программы «Пульс города» в общей сумме </w:t>
      </w:r>
      <w:r w:rsidRPr="00C15C66">
        <w:rPr>
          <w:b/>
          <w:sz w:val="22"/>
          <w:szCs w:val="22"/>
          <w:lang w:eastAsia="en-US"/>
        </w:rPr>
        <w:t>660 тыс.рублей являются неэффективными расходами бюджетных средств</w:t>
      </w:r>
      <w:r w:rsidRPr="00C15C66">
        <w:rPr>
          <w:sz w:val="22"/>
          <w:szCs w:val="22"/>
          <w:lang w:eastAsia="en-US"/>
        </w:rPr>
        <w:t xml:space="preserve"> и недопустимы при недостаточности средств на реализацию муниципальных программ.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2) В связи с изданием незаконного постановления мэра городского округа от 05.03.2007г № 268 «О внесении изменения в постановление мэра города от 27.06.2003г № 883 «О передаче жилищного фонда ОАО  «Востсибуголь» в муниципальную собственность города Тулуна»   36-квартирный жилой дом по ул.Снежной, 2А был исключен из объектов социальной сферы, передаваемых на безвозмездной основе мэрии г.Тулуна.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Контрольно-счетной палатой г.Тулуна было подготовлено аудиторское заключение от 03.09.2007г № 14/1-з по факту издания незаконного постановления с требованием об его отмене, однако администрацией городского округа незаконное постановление отменено не было. 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На основании незаконного постановления мэра города № 268 от 05.03.2007г  ОАО «ВостокСибПром»   зарегистрировало право собственности на квартиры №№ 51,60 по ул.Снежная, 2а и продало их в сентябре 2011 года  по цене  675,0 тыс.руб.(кв.№ 51, покупатель Хворостянко В.В.) и 635,0 тыс.руб. (кв.60, покупатель Гоменюк П.В.).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Решением Тулунского городского суда от 01.12.2009г постановление мэра № 268 от 05.03.2007г  признано не соответствующим законодательству. Этим же решением договор купли-продажи  квартиры  между гр.Гоменюк П.В. и ОАО «ВостокСибПром» признан ничтожным. ОАО «ВостокСибПром» прекратило свое существование в связи с ликвидацией.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В связи с изданием  не соответствующего закону акта органа местного самоуправления – постановления мэра  № 268 от 05.03.2007г   Тулунским городским судом 13.03.2013г было вынесено решение о взыскании с муниципального образования – «город Тулун» в лице МУ «Администрация города Тулуна»  в пользу Гоменюк П.В. убытков в сумме 635,0 тыс.руб. и расходов по уплате госпошлины в сумме 9,5 тыс.руб., </w:t>
      </w:r>
      <w:r w:rsidRPr="00C15C66">
        <w:rPr>
          <w:b/>
          <w:sz w:val="22"/>
          <w:szCs w:val="22"/>
          <w:lang w:eastAsia="en-US"/>
        </w:rPr>
        <w:t>всего в сумме  644,5 тыс.рублей.</w:t>
      </w:r>
      <w:r w:rsidRPr="00C15C66">
        <w:rPr>
          <w:sz w:val="22"/>
          <w:szCs w:val="22"/>
          <w:lang w:eastAsia="en-US"/>
        </w:rPr>
        <w:t xml:space="preserve"> Решение вступило в законную силу 15.08.2013 года.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Аналогичное решение Тулунского городского суда было вынесено 29.10.2012г в пользу Хворостянко В.В. Средства в сумме 681,0 тыс.руб., в т.ч. возмещение вреда 675,0 тыс.руб., госпошлина 6,0 тыс.руб. были выплачены Хворостянко В.В. администрацией городского округа в июле 2013 года  за счет внутренней экономии средств по главному распорядителю МУ «Администрация города Тулуна» (за счет экономии по подразделу 0102).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В соответствии с действующим законодательством РФ убытки, причиненные гражданину или юридическому лицу в результате незаконных действий органов местного самоуправления или должностных лиц этих органов, в том числе издания не соответствующего закону или иному правовому акту акта органа местного самоуправления, подлежат возмещению муниципальным образованием.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В тоже время лица, виновные в принятии  незаконных правовых актов, могут быть привлечены к дисциплинарной, административной или уголовной ответственности.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В связи с принятием мэром города Тулуна незаконного  постановления   № 268 от 05.03.2007г   </w:t>
      </w:r>
      <w:r w:rsidRPr="00C15C66">
        <w:rPr>
          <w:b/>
          <w:sz w:val="22"/>
          <w:szCs w:val="22"/>
          <w:lang w:eastAsia="en-US"/>
        </w:rPr>
        <w:t xml:space="preserve">бюджету города Тулуна был причиненущерб в сумме более 1,3 млн.рублей. </w:t>
      </w:r>
      <w:r w:rsidRPr="00C15C66">
        <w:rPr>
          <w:sz w:val="22"/>
          <w:szCs w:val="22"/>
          <w:lang w:eastAsia="en-US"/>
        </w:rPr>
        <w:t>При этом должностные лица администрации городского округа, причастные к принятию незаконного коррупционного постановления, к ответственности не привлечены.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Считаем, что </w:t>
      </w:r>
      <w:r w:rsidRPr="00C15C66">
        <w:rPr>
          <w:b/>
          <w:sz w:val="22"/>
          <w:szCs w:val="22"/>
          <w:lang w:eastAsia="en-US"/>
        </w:rPr>
        <w:t>расходы в сумме 654,1 тыс.руб.</w:t>
      </w:r>
      <w:r w:rsidRPr="00C15C66">
        <w:rPr>
          <w:sz w:val="22"/>
          <w:szCs w:val="22"/>
          <w:lang w:eastAsia="en-US"/>
        </w:rPr>
        <w:t xml:space="preserve"> на оплату  исполнительного листа по иску Гоменюк П.В. </w:t>
      </w:r>
      <w:r w:rsidRPr="00C15C66">
        <w:rPr>
          <w:b/>
          <w:sz w:val="22"/>
          <w:szCs w:val="22"/>
          <w:lang w:eastAsia="en-US"/>
        </w:rPr>
        <w:t>необходимо исключить из расходной части бюджета</w:t>
      </w:r>
      <w:r w:rsidRPr="00C15C66">
        <w:rPr>
          <w:sz w:val="22"/>
          <w:szCs w:val="22"/>
          <w:lang w:eastAsia="en-US"/>
        </w:rPr>
        <w:t xml:space="preserve">, оплату по исполнительному листу произвести за счет  внутренней экономии средств по главному распорядителю – МУ «Администрация города Тулуна». </w:t>
      </w:r>
    </w:p>
    <w:p w:rsidR="005B7BD9" w:rsidRPr="00C15C66" w:rsidRDefault="005B7BD9" w:rsidP="00587244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Думе городского округа по подразделу  0113 предусмотрены ассигнования на 2014 год на  обеспечение деятельности депутатов Думы города  в сумме 281,6 тыс.рублей.</w:t>
      </w:r>
    </w:p>
    <w:p w:rsidR="005B7BD9" w:rsidRDefault="005B7BD9" w:rsidP="00C15C66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ab/>
        <w:t xml:space="preserve"> При сопоставлении показателей бюджетных ассигнований  на непрограммные мероприятия, отраженные в приложении № 7  и приложении №9, установлено, что по  целевым статьям расходов(КЦСР) 30.0.00.00  в приложении №9  «ведомственная структура расходов местного бюджета»   итоговая сумма </w:t>
      </w:r>
      <w:r w:rsidRPr="00C15C66">
        <w:rPr>
          <w:b/>
          <w:sz w:val="22"/>
          <w:szCs w:val="22"/>
        </w:rPr>
        <w:t>составляет 83 382,2 тыс.руб</w:t>
      </w:r>
      <w:r w:rsidRPr="00C15C66">
        <w:rPr>
          <w:sz w:val="22"/>
          <w:szCs w:val="22"/>
        </w:rPr>
        <w:t xml:space="preserve">.,  отклонения от общего итога  программных и непрограммных мероприятий составляет </w:t>
      </w:r>
      <w:r w:rsidRPr="00C15C66">
        <w:rPr>
          <w:b/>
          <w:sz w:val="22"/>
          <w:szCs w:val="22"/>
        </w:rPr>
        <w:t>1169, 4 тыс.рублей.</w:t>
      </w:r>
      <w:r w:rsidRPr="00C15C66">
        <w:rPr>
          <w:sz w:val="22"/>
          <w:szCs w:val="22"/>
        </w:rPr>
        <w:tab/>
      </w:r>
    </w:p>
    <w:p w:rsidR="005B7BD9" w:rsidRPr="00C15C66" w:rsidRDefault="005B7BD9" w:rsidP="00C15C66">
      <w:pPr>
        <w:jc w:val="center"/>
        <w:rPr>
          <w:b/>
          <w:sz w:val="22"/>
          <w:szCs w:val="22"/>
          <w:lang w:eastAsia="en-US"/>
        </w:rPr>
      </w:pPr>
      <w:r w:rsidRPr="00C15C66">
        <w:rPr>
          <w:b/>
          <w:sz w:val="22"/>
          <w:szCs w:val="22"/>
          <w:lang w:eastAsia="en-US"/>
        </w:rPr>
        <w:t>4.3   Дорожный фонд муниципального образования – «город Тулун»</w:t>
      </w:r>
    </w:p>
    <w:p w:rsidR="005B7BD9" w:rsidRPr="00C15C66" w:rsidRDefault="005B7BD9" w:rsidP="000B4619">
      <w:pPr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ab/>
        <w:t>Дорожный фонд  муниципального образования – «город Тулун» создан в соответствии с решением Думы городского округа от 14.11.2013г № 24-ДГО. Источниками муниципального дорожного фонда являются  акцизы  на реализацию нефтепродуктов, подлежащие зачислению в местный бюджет, поступления по единому налогу на вмененный доход для отдельных видов деятельности (70  %), субсидии и иные межбюджетные трансферты из областного бюджета  на финансовое обеспечение дорожной деятельности, безвозмездные поступления от физических и юридических лиц.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Объем доходов дорожного фонда на 2014 год  составит </w:t>
      </w:r>
      <w:r w:rsidRPr="00C15C66">
        <w:rPr>
          <w:b/>
          <w:sz w:val="22"/>
          <w:szCs w:val="22"/>
          <w:lang w:eastAsia="en-US"/>
        </w:rPr>
        <w:t>26554,5</w:t>
      </w:r>
      <w:r w:rsidRPr="00C15C66">
        <w:rPr>
          <w:sz w:val="22"/>
          <w:szCs w:val="22"/>
          <w:lang w:eastAsia="en-US"/>
        </w:rPr>
        <w:t xml:space="preserve"> тыс.руб., в т.ч. за счет поступления акцизов на реализацию нефтепродуктов (бензин, дизтопливо, моторные масла) 9555,0 тыс.руб., единого налога на вмененный доход  для отдельных видов деятельности (70 %) 16999,5 тыс.рублей.  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ab/>
        <w:t xml:space="preserve">Расходование средств дорожного фонда  будет осуществляться в рамках  реализации мероприятий, предусмотренных муниципальной программой «Городские дороги» всего в сумме </w:t>
      </w:r>
      <w:r w:rsidRPr="00C15C66">
        <w:rPr>
          <w:b/>
          <w:sz w:val="22"/>
          <w:szCs w:val="22"/>
          <w:lang w:eastAsia="en-US"/>
        </w:rPr>
        <w:t>26555,0</w:t>
      </w:r>
      <w:r w:rsidRPr="00C15C66">
        <w:rPr>
          <w:sz w:val="22"/>
          <w:szCs w:val="22"/>
          <w:lang w:eastAsia="en-US"/>
        </w:rPr>
        <w:t xml:space="preserve"> тыс.руб., в т.ч. 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 - летнее содержание дорог 7000,0 тыс.руб. (в т.ч. нанесение дорожной разметки 500,0 тыс.руб., установка дорожных знаков 500,0 тыс.руб., установка и содержание остановочных павильонов  100,0 тыс.руб.); 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 xml:space="preserve">- зимнее содержание дорог 8000,0  тыс.руб.; 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разработка проектно-сметной документации 1000,0 тыс.руб.;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регистрация права собственности на автомобильные дороги общего пользования 555 тыс.руб.;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ремонт автомобильных дорог 7000,0 тыс.руб.;</w:t>
      </w:r>
    </w:p>
    <w:p w:rsidR="005B7BD9" w:rsidRDefault="005B7BD9" w:rsidP="00C15C66">
      <w:pPr>
        <w:tabs>
          <w:tab w:val="left" w:pos="7110"/>
        </w:tabs>
        <w:ind w:firstLine="708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- капитальный ремонт дворовых территорий 3000,0 тыс.рублей.</w:t>
      </w:r>
      <w:r>
        <w:rPr>
          <w:sz w:val="22"/>
          <w:szCs w:val="22"/>
          <w:lang w:eastAsia="en-US"/>
        </w:rPr>
        <w:tab/>
      </w:r>
    </w:p>
    <w:p w:rsidR="005B7BD9" w:rsidRPr="00C15C66" w:rsidRDefault="005B7BD9" w:rsidP="00C15C66">
      <w:pPr>
        <w:tabs>
          <w:tab w:val="left" w:pos="7110"/>
        </w:tabs>
        <w:ind w:firstLine="708"/>
        <w:jc w:val="center"/>
        <w:rPr>
          <w:sz w:val="16"/>
          <w:szCs w:val="16"/>
          <w:lang w:eastAsia="en-US"/>
        </w:rPr>
      </w:pPr>
    </w:p>
    <w:p w:rsidR="005B7BD9" w:rsidRPr="00C15C66" w:rsidRDefault="005B7BD9" w:rsidP="00F00A48">
      <w:pPr>
        <w:jc w:val="center"/>
        <w:rPr>
          <w:sz w:val="22"/>
          <w:szCs w:val="22"/>
        </w:rPr>
      </w:pPr>
      <w:r w:rsidRPr="00C15C66">
        <w:rPr>
          <w:b/>
          <w:sz w:val="22"/>
          <w:szCs w:val="22"/>
        </w:rPr>
        <w:t>5. Выводы  и  рекомендации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5.1. В связи с тем, что  доходная и расходная часть бюджета не соответствуют принципу полноты отражения доходов, расходов  и источников финансирования дефицита местного бюджета, установленному статьей 32 БК РФ, которым предусмотрено,  что все доходы и расходы в обязательном порядке и в полном объеме отражаются в соответствующих бюджетах,  данный проект решения Думы о бюджете на 2014 год и на плановый период 2015 и 2016 годов,  не рекомендуется к принятию представительным органом, а значит,  проект решения  подлежит корректировке.  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5.2. Анализ основных параметров бюджета   показал на ряд  нарушений требований  бюджетного законодательства, которые необходимо привести в соответствие с действующими нормами БК РФ.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5.3 Согласно  части 2 ст.157 Бюджетного кодекса РФ, части 2 статьи 9 Федерального закона «Об общих принципах организации и деятельности контрольно-счетных органов субъектов РФ и муниципальных образований»,  КСП обязана проводить экспертизу проектов целевых программ до их утверждения.  Для обеспечения  соблюдения требований  федерального законодательства Администрации городского округа необходимо внести изменения в  нормативно правовые акты, регламентирующие принятие МЦП.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5.4 Бюджет на 2014 год и на плановый период 2015-2016 годов сформирован  с предельным уровнем дефицита, что в первую очередь противоречит основным направлениям бюджетной и налоговой политики муниципального образования – «город Тулун»,которые утверждены  постановлением администрации городского округа от30.09.2013г  № 1832.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         Руководствуясь нормами бюджетного законодательства,  статьей 157 БК РФ в части проведения экспертизы проекта решения ДГО  о бюджете муниципального образования – город Тулун, Положением о  Контрольно-счетной палате города Тулуна, КСП г.Тулуна</w:t>
      </w:r>
    </w:p>
    <w:p w:rsidR="005B7BD9" w:rsidRPr="00C15C66" w:rsidRDefault="005B7BD9" w:rsidP="00F00A48">
      <w:pPr>
        <w:ind w:firstLine="708"/>
        <w:jc w:val="center"/>
        <w:rPr>
          <w:b/>
          <w:sz w:val="22"/>
          <w:szCs w:val="22"/>
        </w:rPr>
      </w:pPr>
      <w:r w:rsidRPr="00C15C66">
        <w:rPr>
          <w:b/>
          <w:sz w:val="22"/>
          <w:szCs w:val="22"/>
        </w:rPr>
        <w:t>РЕКОМЕНДУЕТ:</w:t>
      </w:r>
    </w:p>
    <w:p w:rsidR="005B7BD9" w:rsidRPr="00C15C66" w:rsidRDefault="005B7BD9" w:rsidP="000B4619">
      <w:pPr>
        <w:ind w:firstLine="708"/>
        <w:jc w:val="both"/>
        <w:rPr>
          <w:b/>
          <w:i/>
          <w:sz w:val="22"/>
          <w:szCs w:val="22"/>
        </w:rPr>
      </w:pPr>
      <w:r w:rsidRPr="00C15C66">
        <w:rPr>
          <w:b/>
          <w:i/>
          <w:sz w:val="22"/>
          <w:szCs w:val="22"/>
        </w:rPr>
        <w:t xml:space="preserve">Депутатам Думы городского округа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 xml:space="preserve">По мнению Контрольно-счетной палаты г.Тулуна отдельные нормы проекта решения Думы города  «О бюджете муниципального образования – «город Тулун» на 2014 год и на плановый период 2015 и 2016 годов»  противоречат  требованиям бюджетного законодательства, в связи с чем целесообразно направить проект в Администрацию городского округа на устранение замечаний,  указанных в настоящем заключении, и его доработку. </w:t>
      </w:r>
    </w:p>
    <w:p w:rsidR="005B7BD9" w:rsidRPr="00C15C66" w:rsidRDefault="005B7BD9" w:rsidP="000B4619">
      <w:pPr>
        <w:ind w:firstLine="708"/>
        <w:jc w:val="both"/>
        <w:rPr>
          <w:sz w:val="22"/>
          <w:szCs w:val="22"/>
        </w:rPr>
      </w:pPr>
      <w:r w:rsidRPr="00C15C66">
        <w:rPr>
          <w:sz w:val="22"/>
          <w:szCs w:val="22"/>
        </w:rPr>
        <w:t>Кроме того, рекомендуем признать утратившими силу с 01.01.2014г  следующие решения Думы города:</w:t>
      </w:r>
    </w:p>
    <w:p w:rsidR="005B7BD9" w:rsidRPr="00C15C66" w:rsidRDefault="005B7BD9" w:rsidP="008D1AE1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29.08.2007г № 82-ДГО «Об утверждении муниципальной целевой программы «Переселение граждан из ветхого и аварийного жилищного  фонда в муниципальном образовании – «город Тулун» на 2007-2010гг»;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02.07.2008г № 38-ДГО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2007-2010гг»;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01.03.2010г № 06-ДГО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2007-2010гг»;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09.08.2010г № 35-ДГО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2007-2019гг»;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30.12.2010г № 72-ДГО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2007-2019гг»;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30.06.2011г № 29-ДГО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2007-2019гг»;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17.10.2011г № 50-ДГО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2007-2019гг»;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07.12.2011г № 61-ДГО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2007-2019гг»;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11.03.2012г № 02-ДГО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2007-2019гг»;</w:t>
      </w:r>
    </w:p>
    <w:p w:rsidR="005B7BD9" w:rsidRPr="00C15C66" w:rsidRDefault="005B7BD9" w:rsidP="000B4619">
      <w:pPr>
        <w:ind w:firstLine="709"/>
        <w:jc w:val="both"/>
        <w:rPr>
          <w:sz w:val="22"/>
          <w:szCs w:val="22"/>
          <w:lang w:eastAsia="en-US"/>
        </w:rPr>
      </w:pPr>
      <w:r w:rsidRPr="00C15C66">
        <w:rPr>
          <w:sz w:val="22"/>
          <w:szCs w:val="22"/>
          <w:lang w:eastAsia="en-US"/>
        </w:rPr>
        <w:t>от 02.04.2012г № 07-ДГО «О внесении изменений в муниципальную целевую программу «Переселение граждан из ветхого и аварийного жилищного  фонда в муниципальном образовании – «город Тулун» на 2007-2019гг».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</w:p>
    <w:p w:rsidR="005B7BD9" w:rsidRPr="00C15C66" w:rsidRDefault="005B7BD9" w:rsidP="000B4619">
      <w:pPr>
        <w:jc w:val="both"/>
        <w:rPr>
          <w:sz w:val="22"/>
          <w:szCs w:val="22"/>
        </w:rPr>
      </w:pPr>
    </w:p>
    <w:p w:rsidR="005B7BD9" w:rsidRPr="00C15C66" w:rsidRDefault="005B7BD9" w:rsidP="00C15C66">
      <w:pPr>
        <w:tabs>
          <w:tab w:val="left" w:pos="17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Председатель Контрольно-</w:t>
      </w:r>
    </w:p>
    <w:p w:rsidR="005B7BD9" w:rsidRPr="00C15C66" w:rsidRDefault="005B7BD9" w:rsidP="000B4619">
      <w:pPr>
        <w:jc w:val="both"/>
        <w:rPr>
          <w:sz w:val="22"/>
          <w:szCs w:val="22"/>
        </w:rPr>
      </w:pPr>
      <w:r w:rsidRPr="00C15C66">
        <w:rPr>
          <w:sz w:val="22"/>
          <w:szCs w:val="22"/>
        </w:rPr>
        <w:t>счетной палаты  г.Тулуна                                                                                Е.В. Новикевич</w:t>
      </w:r>
    </w:p>
    <w:p w:rsidR="005B7BD9" w:rsidRDefault="005B7BD9" w:rsidP="000B4619">
      <w:pPr>
        <w:jc w:val="both"/>
        <w:rPr>
          <w:b/>
        </w:rPr>
      </w:pPr>
    </w:p>
    <w:p w:rsidR="005B7BD9" w:rsidRDefault="005B7BD9" w:rsidP="000B4619">
      <w:pPr>
        <w:ind w:firstLine="709"/>
        <w:jc w:val="both"/>
        <w:rPr>
          <w:lang w:eastAsia="en-US"/>
        </w:rPr>
      </w:pPr>
    </w:p>
    <w:p w:rsidR="005B7BD9" w:rsidRDefault="005B7BD9" w:rsidP="00127BA5">
      <w:pPr>
        <w:ind w:firstLine="708"/>
        <w:jc w:val="both"/>
      </w:pPr>
    </w:p>
    <w:sectPr w:rsidR="005B7BD9" w:rsidSect="00F00A48">
      <w:footerReference w:type="default" r:id="rId7"/>
      <w:pgSz w:w="11906" w:h="16838"/>
      <w:pgMar w:top="360" w:right="386" w:bottom="180" w:left="540" w:header="34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D9" w:rsidRDefault="005B7BD9" w:rsidP="003F1F64">
      <w:r>
        <w:separator/>
      </w:r>
    </w:p>
  </w:endnote>
  <w:endnote w:type="continuationSeparator" w:id="1">
    <w:p w:rsidR="005B7BD9" w:rsidRDefault="005B7BD9" w:rsidP="003F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D9" w:rsidRDefault="005B7BD9" w:rsidP="00F00A48">
    <w:pPr>
      <w:pStyle w:val="Footer"/>
      <w:tabs>
        <w:tab w:val="left" w:pos="1260"/>
        <w:tab w:val="right" w:pos="10980"/>
      </w:tabs>
    </w:pPr>
    <w:r>
      <w:tab/>
    </w:r>
    <w:r>
      <w:tab/>
    </w:r>
    <w:r>
      <w:tab/>
    </w:r>
    <w:r>
      <w:tab/>
    </w:r>
    <w:fldSimple w:instr="PAGE   \* MERGEFORMAT">
      <w:r>
        <w:rPr>
          <w:noProof/>
        </w:rPr>
        <w:t>11</w:t>
      </w:r>
    </w:fldSimple>
  </w:p>
  <w:p w:rsidR="005B7BD9" w:rsidRDefault="005B7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D9" w:rsidRDefault="005B7BD9" w:rsidP="003F1F64">
      <w:r>
        <w:separator/>
      </w:r>
    </w:p>
  </w:footnote>
  <w:footnote w:type="continuationSeparator" w:id="1">
    <w:p w:rsidR="005B7BD9" w:rsidRDefault="005B7BD9" w:rsidP="003F1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2D6D"/>
    <w:multiLevelType w:val="hybridMultilevel"/>
    <w:tmpl w:val="930E03E0"/>
    <w:lvl w:ilvl="0" w:tplc="0B260C26">
      <w:start w:val="1"/>
      <w:numFmt w:val="decimal"/>
      <w:lvlText w:val="%1."/>
      <w:lvlJc w:val="left"/>
      <w:pPr>
        <w:ind w:left="25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6A5"/>
    <w:rsid w:val="00002E37"/>
    <w:rsid w:val="00011958"/>
    <w:rsid w:val="00017403"/>
    <w:rsid w:val="000246BA"/>
    <w:rsid w:val="000251AC"/>
    <w:rsid w:val="0002699E"/>
    <w:rsid w:val="00032C30"/>
    <w:rsid w:val="000575F4"/>
    <w:rsid w:val="00072843"/>
    <w:rsid w:val="000B4619"/>
    <w:rsid w:val="000F278B"/>
    <w:rsid w:val="00106258"/>
    <w:rsid w:val="00115F1B"/>
    <w:rsid w:val="00116711"/>
    <w:rsid w:val="00120565"/>
    <w:rsid w:val="001235D9"/>
    <w:rsid w:val="00127BA5"/>
    <w:rsid w:val="00140279"/>
    <w:rsid w:val="001462D0"/>
    <w:rsid w:val="001620B2"/>
    <w:rsid w:val="00180C13"/>
    <w:rsid w:val="00181CAA"/>
    <w:rsid w:val="00187F54"/>
    <w:rsid w:val="001A2C98"/>
    <w:rsid w:val="001C67FF"/>
    <w:rsid w:val="00205712"/>
    <w:rsid w:val="002269FF"/>
    <w:rsid w:val="0023286A"/>
    <w:rsid w:val="00263558"/>
    <w:rsid w:val="00274556"/>
    <w:rsid w:val="002B2FE4"/>
    <w:rsid w:val="002D4185"/>
    <w:rsid w:val="0032278B"/>
    <w:rsid w:val="0033309E"/>
    <w:rsid w:val="00336493"/>
    <w:rsid w:val="003432BD"/>
    <w:rsid w:val="00343F06"/>
    <w:rsid w:val="003C038E"/>
    <w:rsid w:val="003C2028"/>
    <w:rsid w:val="003C33A0"/>
    <w:rsid w:val="003C5BEA"/>
    <w:rsid w:val="003E0298"/>
    <w:rsid w:val="003F1F64"/>
    <w:rsid w:val="003F2FD5"/>
    <w:rsid w:val="003F3872"/>
    <w:rsid w:val="003F48E4"/>
    <w:rsid w:val="00414B98"/>
    <w:rsid w:val="00414D7C"/>
    <w:rsid w:val="00422BB1"/>
    <w:rsid w:val="00436D24"/>
    <w:rsid w:val="00463E92"/>
    <w:rsid w:val="004B32AA"/>
    <w:rsid w:val="00514653"/>
    <w:rsid w:val="00517EF0"/>
    <w:rsid w:val="0052117D"/>
    <w:rsid w:val="00522F61"/>
    <w:rsid w:val="00531808"/>
    <w:rsid w:val="00541ECF"/>
    <w:rsid w:val="005463D8"/>
    <w:rsid w:val="00563755"/>
    <w:rsid w:val="00563A7E"/>
    <w:rsid w:val="00574C90"/>
    <w:rsid w:val="0058470A"/>
    <w:rsid w:val="00587244"/>
    <w:rsid w:val="005A35D3"/>
    <w:rsid w:val="005A6A17"/>
    <w:rsid w:val="005B72E7"/>
    <w:rsid w:val="005B7BD9"/>
    <w:rsid w:val="005C3EF3"/>
    <w:rsid w:val="005D61C4"/>
    <w:rsid w:val="005E7FBB"/>
    <w:rsid w:val="00624252"/>
    <w:rsid w:val="00637C31"/>
    <w:rsid w:val="006426EC"/>
    <w:rsid w:val="00654E0D"/>
    <w:rsid w:val="00676B4A"/>
    <w:rsid w:val="006816E5"/>
    <w:rsid w:val="006918C6"/>
    <w:rsid w:val="00692A00"/>
    <w:rsid w:val="006972DD"/>
    <w:rsid w:val="006A026B"/>
    <w:rsid w:val="006A1A78"/>
    <w:rsid w:val="006B4C01"/>
    <w:rsid w:val="006C0BB3"/>
    <w:rsid w:val="006C47CB"/>
    <w:rsid w:val="006D2C8F"/>
    <w:rsid w:val="00722101"/>
    <w:rsid w:val="00723EDB"/>
    <w:rsid w:val="00741E86"/>
    <w:rsid w:val="0076006C"/>
    <w:rsid w:val="007939C3"/>
    <w:rsid w:val="007A20AE"/>
    <w:rsid w:val="007D0CD8"/>
    <w:rsid w:val="007E1DC0"/>
    <w:rsid w:val="008042FC"/>
    <w:rsid w:val="00812E62"/>
    <w:rsid w:val="00821C58"/>
    <w:rsid w:val="00861264"/>
    <w:rsid w:val="00872E3D"/>
    <w:rsid w:val="008C16A5"/>
    <w:rsid w:val="008C50C9"/>
    <w:rsid w:val="008D1AE1"/>
    <w:rsid w:val="00904FA8"/>
    <w:rsid w:val="00906309"/>
    <w:rsid w:val="0091053E"/>
    <w:rsid w:val="0091210B"/>
    <w:rsid w:val="009161FE"/>
    <w:rsid w:val="009202D7"/>
    <w:rsid w:val="00921A38"/>
    <w:rsid w:val="009261F7"/>
    <w:rsid w:val="00944B01"/>
    <w:rsid w:val="009454D7"/>
    <w:rsid w:val="00960A37"/>
    <w:rsid w:val="009615B5"/>
    <w:rsid w:val="00965C43"/>
    <w:rsid w:val="00966747"/>
    <w:rsid w:val="0099323F"/>
    <w:rsid w:val="00994621"/>
    <w:rsid w:val="009A71FA"/>
    <w:rsid w:val="009B5699"/>
    <w:rsid w:val="009D25AD"/>
    <w:rsid w:val="009F1E0F"/>
    <w:rsid w:val="00A36415"/>
    <w:rsid w:val="00A64B07"/>
    <w:rsid w:val="00A72B57"/>
    <w:rsid w:val="00AA02BF"/>
    <w:rsid w:val="00B15617"/>
    <w:rsid w:val="00B17616"/>
    <w:rsid w:val="00B3055F"/>
    <w:rsid w:val="00B64679"/>
    <w:rsid w:val="00B744A8"/>
    <w:rsid w:val="00B778E9"/>
    <w:rsid w:val="00B82E81"/>
    <w:rsid w:val="00B84B7E"/>
    <w:rsid w:val="00B9289C"/>
    <w:rsid w:val="00BA7F56"/>
    <w:rsid w:val="00BC3620"/>
    <w:rsid w:val="00BD5C5C"/>
    <w:rsid w:val="00C04683"/>
    <w:rsid w:val="00C07742"/>
    <w:rsid w:val="00C15C66"/>
    <w:rsid w:val="00C5483D"/>
    <w:rsid w:val="00C5776B"/>
    <w:rsid w:val="00C6114F"/>
    <w:rsid w:val="00C87998"/>
    <w:rsid w:val="00CB64D8"/>
    <w:rsid w:val="00CD4BE6"/>
    <w:rsid w:val="00CF0B5F"/>
    <w:rsid w:val="00CF43B6"/>
    <w:rsid w:val="00CF643D"/>
    <w:rsid w:val="00D145CE"/>
    <w:rsid w:val="00D310F5"/>
    <w:rsid w:val="00D506B3"/>
    <w:rsid w:val="00D87A58"/>
    <w:rsid w:val="00D9136A"/>
    <w:rsid w:val="00D913D3"/>
    <w:rsid w:val="00D9372C"/>
    <w:rsid w:val="00DA71F7"/>
    <w:rsid w:val="00DC30DB"/>
    <w:rsid w:val="00E03B94"/>
    <w:rsid w:val="00E459BC"/>
    <w:rsid w:val="00E524D7"/>
    <w:rsid w:val="00E60E3A"/>
    <w:rsid w:val="00E6604D"/>
    <w:rsid w:val="00E73B43"/>
    <w:rsid w:val="00E75B51"/>
    <w:rsid w:val="00EA1B16"/>
    <w:rsid w:val="00EA6755"/>
    <w:rsid w:val="00EB316F"/>
    <w:rsid w:val="00EC13A2"/>
    <w:rsid w:val="00F00A48"/>
    <w:rsid w:val="00F0181F"/>
    <w:rsid w:val="00F15245"/>
    <w:rsid w:val="00F26622"/>
    <w:rsid w:val="00F26E93"/>
    <w:rsid w:val="00F32129"/>
    <w:rsid w:val="00F50E25"/>
    <w:rsid w:val="00F53B59"/>
    <w:rsid w:val="00F57FD3"/>
    <w:rsid w:val="00F60EB2"/>
    <w:rsid w:val="00F719CA"/>
    <w:rsid w:val="00F80C7A"/>
    <w:rsid w:val="00FD42A3"/>
    <w:rsid w:val="00FD671B"/>
    <w:rsid w:val="00FE1C60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1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F1F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1F6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F1F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1F6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32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8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1648</TotalTime>
  <Pages>11</Pages>
  <Words>8009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2013-12-16T01:34:00Z</cp:lastPrinted>
  <dcterms:created xsi:type="dcterms:W3CDTF">2013-12-02T07:36:00Z</dcterms:created>
  <dcterms:modified xsi:type="dcterms:W3CDTF">2013-12-16T01:36:00Z</dcterms:modified>
</cp:coreProperties>
</file>