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22697C" w:rsidP="00D14622">
            <w:pPr>
              <w:ind w:right="317"/>
              <w:jc w:val="center"/>
            </w:pPr>
            <w:r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B13BCE" w:rsidRDefault="0022697C" w:rsidP="004C7362">
      <w:pPr>
        <w:jc w:val="both"/>
        <w:rPr>
          <w:b/>
        </w:rPr>
      </w:pPr>
      <w:r>
        <w:t xml:space="preserve"> </w:t>
      </w:r>
    </w:p>
    <w:p w:rsidR="0022697C" w:rsidRPr="004C7362" w:rsidRDefault="004C7362" w:rsidP="0022697C">
      <w:pPr>
        <w:jc w:val="center"/>
        <w:rPr>
          <w:b/>
        </w:rPr>
      </w:pPr>
      <w:r w:rsidRPr="004C7362">
        <w:rPr>
          <w:b/>
        </w:rPr>
        <w:t xml:space="preserve">Заключение № </w:t>
      </w:r>
      <w:r w:rsidR="006C7DF5">
        <w:rPr>
          <w:b/>
        </w:rPr>
        <w:t>1</w:t>
      </w:r>
      <w:r w:rsidR="00035B92">
        <w:rPr>
          <w:b/>
        </w:rPr>
        <w:t>1</w:t>
      </w:r>
      <w:r w:rsidRPr="004C7362">
        <w:rPr>
          <w:b/>
        </w:rPr>
        <w:t>-э</w:t>
      </w:r>
    </w:p>
    <w:p w:rsidR="00AA720C" w:rsidRDefault="004C7362" w:rsidP="0022697C">
      <w:pPr>
        <w:jc w:val="center"/>
      </w:pPr>
      <w:r>
        <w:t xml:space="preserve">по результатам </w:t>
      </w:r>
      <w:proofErr w:type="gramStart"/>
      <w:r w:rsidR="00035B92">
        <w:t xml:space="preserve">проведения повторной </w:t>
      </w:r>
      <w:r>
        <w:t>экспертизы проекта решения Думы городского</w:t>
      </w:r>
      <w:proofErr w:type="gramEnd"/>
      <w:r>
        <w:t xml:space="preserve"> округа </w:t>
      </w:r>
      <w:r w:rsidR="00AA720C" w:rsidRPr="00AA720C">
        <w:t>«</w:t>
      </w:r>
      <w:r w:rsidR="00035B92">
        <w:t>Об утверждении отчета об исполнении  бюджета муниципального образования – «город Тулун</w:t>
      </w:r>
      <w:r w:rsidR="006C7DF5">
        <w:t>»</w:t>
      </w:r>
      <w:r w:rsidR="00035B92">
        <w:t xml:space="preserve"> за 2012 год</w:t>
      </w:r>
      <w:r w:rsidR="00B975EB">
        <w:t>»</w:t>
      </w:r>
      <w:r w:rsidR="00035B92">
        <w:t>, годового отчета  об исполнении бюджета муниципального образования – «город Тулун» за 2012 год</w:t>
      </w:r>
    </w:p>
    <w:p w:rsidR="006C7DF5" w:rsidRPr="00AA720C" w:rsidRDefault="006C7DF5" w:rsidP="0022697C">
      <w:pPr>
        <w:jc w:val="center"/>
      </w:pPr>
    </w:p>
    <w:p w:rsidR="004C7362" w:rsidRDefault="004C7362" w:rsidP="004C7362">
      <w:pPr>
        <w:jc w:val="both"/>
      </w:pPr>
      <w:r>
        <w:t xml:space="preserve">г.Тулун                                                                                                         </w:t>
      </w:r>
      <w:r w:rsidR="00D83900">
        <w:t>0</w:t>
      </w:r>
      <w:r w:rsidR="00035B92">
        <w:t>7</w:t>
      </w:r>
      <w:r w:rsidR="006C7DF5">
        <w:t xml:space="preserve"> октября</w:t>
      </w:r>
      <w:r>
        <w:t xml:space="preserve"> 2013 года</w:t>
      </w:r>
    </w:p>
    <w:p w:rsidR="004C7362" w:rsidRDefault="004C7362" w:rsidP="004C7362">
      <w:pPr>
        <w:jc w:val="both"/>
      </w:pPr>
    </w:p>
    <w:p w:rsidR="00AE65F0" w:rsidRDefault="00AE65F0" w:rsidP="00B0376E">
      <w:pPr>
        <w:jc w:val="both"/>
      </w:pPr>
    </w:p>
    <w:p w:rsidR="00FE7550" w:rsidRDefault="0022697C" w:rsidP="00B0376E">
      <w:pPr>
        <w:jc w:val="both"/>
      </w:pPr>
      <w:r>
        <w:tab/>
      </w:r>
      <w:r w:rsidR="004C7362">
        <w:t>Настоящее заключение подготовлено</w:t>
      </w:r>
      <w:r w:rsidR="00B0376E">
        <w:rPr>
          <w:i/>
        </w:rPr>
        <w:t xml:space="preserve"> </w:t>
      </w:r>
      <w:r w:rsidR="004C7362">
        <w:t xml:space="preserve"> на основании Положения о Контрольно-счетной палате городского округа муниципального образования – «город Тулун», распоряжения  председателя КСП г.Тулуна от </w:t>
      </w:r>
      <w:r w:rsidR="00D83900">
        <w:t xml:space="preserve"> 24.09.2013г</w:t>
      </w:r>
      <w:r w:rsidR="004C7362">
        <w:t xml:space="preserve"> №</w:t>
      </w:r>
      <w:r w:rsidR="000C0020">
        <w:t xml:space="preserve"> </w:t>
      </w:r>
      <w:r w:rsidR="00D83900">
        <w:t>3</w:t>
      </w:r>
      <w:r w:rsidR="00035B92">
        <w:t>4</w:t>
      </w:r>
      <w:r w:rsidR="004C7362">
        <w:t>-р</w:t>
      </w:r>
      <w:r w:rsidR="000C0020">
        <w:t>,</w:t>
      </w:r>
      <w:r w:rsidR="004C7362">
        <w:t xml:space="preserve"> в соответствии с запросом Думы городского округа от </w:t>
      </w:r>
      <w:r w:rsidR="00035B92">
        <w:t>12</w:t>
      </w:r>
      <w:r w:rsidR="00B0376E">
        <w:t>.0</w:t>
      </w:r>
      <w:r w:rsidR="006C7DF5">
        <w:t>9</w:t>
      </w:r>
      <w:r w:rsidR="00B0376E">
        <w:t xml:space="preserve">.2013г № </w:t>
      </w:r>
      <w:r w:rsidR="00035B92">
        <w:t>394</w:t>
      </w:r>
      <w:r w:rsidR="00B0376E">
        <w:t>.</w:t>
      </w:r>
    </w:p>
    <w:p w:rsidR="007644F5" w:rsidRDefault="00B0376E" w:rsidP="001D7C17">
      <w:pPr>
        <w:jc w:val="both"/>
      </w:pPr>
      <w:r>
        <w:tab/>
      </w:r>
    </w:p>
    <w:p w:rsidR="00465521" w:rsidRDefault="00B0376E" w:rsidP="00465521">
      <w:pPr>
        <w:pStyle w:val="a3"/>
        <w:numPr>
          <w:ilvl w:val="0"/>
          <w:numId w:val="2"/>
        </w:numPr>
        <w:jc w:val="center"/>
      </w:pPr>
      <w:r>
        <w:t>Общие положения</w:t>
      </w:r>
    </w:p>
    <w:p w:rsidR="00465521" w:rsidRDefault="00465521" w:rsidP="00465521">
      <w:pPr>
        <w:pStyle w:val="a3"/>
      </w:pPr>
    </w:p>
    <w:p w:rsidR="00465521" w:rsidRDefault="00465521" w:rsidP="00465521">
      <w:pPr>
        <w:ind w:firstLine="708"/>
        <w:jc w:val="both"/>
      </w:pPr>
      <w:r>
        <w:t>В результате проведенной внешней проверки  годового отчета об исполнении  бюджета муниципального образования – «город Тулун» за 2012 год были установлены факты искажения  бюджетной отчетности  по доходам, администрируемым Управлением по муниципальному имуществу и земельным отношениям администрации городского округа, а именно по доходам  от сдачи в аренду муниципального имущества  на сумму 464,6 тыс</w:t>
      </w:r>
      <w:proofErr w:type="gramStart"/>
      <w:r>
        <w:t>.р</w:t>
      </w:r>
      <w:proofErr w:type="gramEnd"/>
      <w:r>
        <w:t>уб., а также занижение стоимости имущества казны на сумму 586,5 тыс.руб. (отчет КСП № 3-о от 30.04.2013г, заключение № 8-э от 24.05.2013г).</w:t>
      </w:r>
    </w:p>
    <w:p w:rsidR="00465521" w:rsidRDefault="00465521" w:rsidP="00465521">
      <w:pPr>
        <w:ind w:firstLine="708"/>
        <w:jc w:val="both"/>
      </w:pPr>
      <w:r>
        <w:t>В соответствии  со ст.264.5 Бюджетного кодекса РФ  Думе города Тулуна было рекомендовано  возвратить  годовой отчет  об исполнении местного бюджета за 2012 год в администрацию городского округа для устранения фактов  недостоверного, неполного  отражения данных.</w:t>
      </w:r>
    </w:p>
    <w:p w:rsidR="00465521" w:rsidRDefault="00465521" w:rsidP="00465521">
      <w:pPr>
        <w:ind w:firstLine="708"/>
        <w:jc w:val="both"/>
      </w:pPr>
      <w:r>
        <w:t>Двенадцатого сентября  текущего года Дума города Тулуна направила в КСП г</w:t>
      </w:r>
      <w:proofErr w:type="gramStart"/>
      <w:r>
        <w:t>.Т</w:t>
      </w:r>
      <w:proofErr w:type="gramEnd"/>
      <w:r>
        <w:t>улуна  для проведения экспертизы годовой отчет  об исполнении бюджета муниципального образования – «город Тулун» за 2012 год и проект решения Думы городского округа  «Об утверждении  отчета об исполнении бюджета  муниципального образования – «город Тулун» за 2012 год», доработанные с учетом заключения КСП г.Тулуна от 24.05.2013г № 8-э.</w:t>
      </w:r>
    </w:p>
    <w:p w:rsidR="00D56DDD" w:rsidRDefault="00465521" w:rsidP="00465521">
      <w:pPr>
        <w:ind w:firstLine="708"/>
        <w:jc w:val="both"/>
      </w:pPr>
      <w:r>
        <w:t>В результате проведенной экспертизы представленных повторно  документов, было установлено, что факты недостоверного, неполного отражения данных в отчете об исполнении местного  бюджета за 2012 год администрацией городского округа не устранены.</w:t>
      </w:r>
    </w:p>
    <w:p w:rsidR="00AF3411" w:rsidRDefault="00465521" w:rsidP="00465521">
      <w:pPr>
        <w:ind w:firstLine="708"/>
        <w:jc w:val="both"/>
      </w:pPr>
      <w:proofErr w:type="gramStart"/>
      <w:r>
        <w:t xml:space="preserve">Согласно пояснениям администрации городского округа, факты недостоверного, неполного  отражения данных  являются бухгалтерской ошибкой  и в соответствии с Инструкцией по применению 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</w:t>
      </w:r>
      <w:r w:rsidR="00AF3411">
        <w:lastRenderedPageBreak/>
        <w:t>утвержденной приказом Минфина РФ от  01.12.2010г № 157н, ошибка, обнаруженная в регистрах  бухгалтерского  учета за</w:t>
      </w:r>
      <w:proofErr w:type="gramEnd"/>
      <w:r w:rsidR="00AF3411">
        <w:t xml:space="preserve"> отчетный  период, за который бухгалтерская отчетность уже представлена, отражается датой обнаружения ошибки, </w:t>
      </w:r>
      <w:proofErr w:type="gramStart"/>
      <w:r w:rsidR="00AF3411">
        <w:t>следовательно</w:t>
      </w:r>
      <w:proofErr w:type="gramEnd"/>
      <w:r w:rsidR="00AF3411">
        <w:t xml:space="preserve"> в отчет об исполнении местного бюджета за 2012 год изменения не могут быть внесены.</w:t>
      </w:r>
    </w:p>
    <w:p w:rsidR="00465521" w:rsidRDefault="00465521" w:rsidP="00465521">
      <w:pPr>
        <w:ind w:firstLine="708"/>
        <w:jc w:val="both"/>
      </w:pPr>
      <w:r>
        <w:t>Данн</w:t>
      </w:r>
      <w:r w:rsidR="00AF3411">
        <w:t>ое</w:t>
      </w:r>
      <w:r>
        <w:t xml:space="preserve"> мнение</w:t>
      </w:r>
      <w:r w:rsidR="00AF3411">
        <w:t xml:space="preserve"> (доводы) администрации городского округа </w:t>
      </w:r>
      <w:r>
        <w:t xml:space="preserve"> не соответствует нормам права.</w:t>
      </w:r>
    </w:p>
    <w:p w:rsidR="00AF3411" w:rsidRDefault="00AF3411" w:rsidP="00465521">
      <w:pPr>
        <w:ind w:firstLine="708"/>
        <w:jc w:val="both"/>
      </w:pPr>
      <w:r>
        <w:t>В соответствии с разъяснениями Управления внутреннего контроля (аудита)  и оценки эффективности деятельности Федерального казначейства от 29.12.2012г, искажение бухгалтерской отчетности может классифицироваться  как:</w:t>
      </w:r>
    </w:p>
    <w:p w:rsidR="00AF3411" w:rsidRDefault="00AF3411" w:rsidP="00465521">
      <w:pPr>
        <w:ind w:firstLine="708"/>
        <w:jc w:val="both"/>
      </w:pPr>
      <w:r>
        <w:t xml:space="preserve"> </w:t>
      </w:r>
      <w:proofErr w:type="gramStart"/>
      <w:r>
        <w:t>- преднамеренное – результат преднамеренных действий  (или бездействия), которые совершаются в корыстных целях, чтобы ввести в заблуждение пользователей бухгалтерской отчетности;</w:t>
      </w:r>
      <w:proofErr w:type="gramEnd"/>
    </w:p>
    <w:p w:rsidR="00AF3411" w:rsidRDefault="00AF3411" w:rsidP="00465521">
      <w:pPr>
        <w:ind w:firstLine="708"/>
        <w:jc w:val="both"/>
      </w:pPr>
      <w:r>
        <w:t>- непреднамеренное – результат непреднамеренных действий (или бездействия), оно может быть  следствием арифметических или логических ошибок в учетных записях, ошибок в расчетах, недосмотра в полноте учета,  неправильного отражения в учете фактов хозяйственной деятельности, наличия и состояния имущества. Отличается от преднамеренного действия отсутствием умысла, приведшего</w:t>
      </w:r>
      <w:r w:rsidR="00092D4B">
        <w:t xml:space="preserve"> к искажению отчетности.</w:t>
      </w:r>
    </w:p>
    <w:p w:rsidR="00ED4CA4" w:rsidRPr="00ED4CA4" w:rsidRDefault="003672D5" w:rsidP="00A97014">
      <w:pPr>
        <w:autoSpaceDE w:val="0"/>
        <w:autoSpaceDN w:val="0"/>
        <w:adjustRightInd w:val="0"/>
        <w:ind w:firstLine="540"/>
        <w:jc w:val="both"/>
      </w:pPr>
      <w:r w:rsidRPr="00941D2E">
        <w:rPr>
          <w:rFonts w:eastAsiaTheme="minorHAnsi"/>
          <w:lang w:eastAsia="en-US"/>
        </w:rPr>
        <w:t>В международных стандартах</w:t>
      </w:r>
      <w:r w:rsidR="00F72437">
        <w:rPr>
          <w:rFonts w:eastAsiaTheme="minorHAnsi"/>
          <w:lang w:eastAsia="en-US"/>
        </w:rPr>
        <w:t xml:space="preserve"> финансовой отчетности и аудита</w:t>
      </w:r>
      <w:r w:rsidRPr="00941D2E">
        <w:rPr>
          <w:rFonts w:eastAsiaTheme="minorHAnsi"/>
          <w:lang w:eastAsia="en-US"/>
        </w:rPr>
        <w:t xml:space="preserve"> дано четкое определение ошибки. </w:t>
      </w:r>
      <w:r w:rsidR="00A97014" w:rsidRPr="00941D2E">
        <w:rPr>
          <w:rFonts w:eastAsiaTheme="minorHAnsi"/>
          <w:lang w:eastAsia="en-US"/>
        </w:rPr>
        <w:t>Так в международном стандарте аудита</w:t>
      </w:r>
      <w:r w:rsidR="00A97014">
        <w:rPr>
          <w:rFonts w:ascii="Arial" w:eastAsiaTheme="minorHAnsi" w:hAnsi="Arial" w:cs="Arial"/>
          <w:sz w:val="20"/>
          <w:szCs w:val="20"/>
          <w:lang w:eastAsia="en-US"/>
        </w:rPr>
        <w:t xml:space="preserve"> - </w:t>
      </w:r>
      <w:r w:rsidRPr="003672D5">
        <w:t xml:space="preserve"> МСА (ISA) 240 </w:t>
      </w:r>
      <w:r w:rsidR="00ED4CA4">
        <w:t xml:space="preserve"> т</w:t>
      </w:r>
      <w:r w:rsidR="00ED4CA4" w:rsidRPr="00ED4CA4">
        <w:t>ермин "ошибка" трактуется как непреднамеренные погрешности, допущенные в финансовой отчетности. Это, в частности, математические ошибки в данных бухгалтерского учета, упущение фактов или их неверная интерпретация, неправильное применение учетной политики.</w:t>
      </w:r>
    </w:p>
    <w:p w:rsidR="00092D4B" w:rsidRDefault="00092D4B" w:rsidP="00465521">
      <w:pPr>
        <w:ind w:firstLine="708"/>
        <w:jc w:val="both"/>
      </w:pPr>
      <w:r>
        <w:t>В связи с вышеизложенным основным</w:t>
      </w:r>
      <w:r w:rsidR="00452D94">
        <w:t xml:space="preserve"> </w:t>
      </w:r>
      <w:r>
        <w:t xml:space="preserve"> </w:t>
      </w:r>
      <w:r w:rsidRPr="00092D4B">
        <w:rPr>
          <w:u w:val="single"/>
        </w:rPr>
        <w:t>признаком бухгалтерской ошибки является  отсутствие умысла.</w:t>
      </w:r>
      <w:r>
        <w:t xml:space="preserve"> В отличие от ошибки недобросовестные действия носят преднамеренный характер и, как правило, подразумевает целенаправленное сокрытие фактов. </w:t>
      </w:r>
    </w:p>
    <w:p w:rsidR="00F72437" w:rsidRDefault="00452D94" w:rsidP="00465521">
      <w:pPr>
        <w:ind w:firstLine="708"/>
        <w:jc w:val="both"/>
      </w:pPr>
      <w:r>
        <w:t>Отсутствие н</w:t>
      </w:r>
      <w:r w:rsidR="00A86EB9">
        <w:t xml:space="preserve">ачисления  платы по </w:t>
      </w:r>
      <w:r>
        <w:t xml:space="preserve">пяти </w:t>
      </w:r>
      <w:r w:rsidR="00A86EB9">
        <w:t>договорам аренд</w:t>
      </w:r>
      <w:r>
        <w:t>ы</w:t>
      </w:r>
      <w:r w:rsidR="00A86EB9">
        <w:t xml:space="preserve"> муниципального имущества,</w:t>
      </w:r>
      <w:r>
        <w:t xml:space="preserve"> задолженности  по указанным договорам,</w:t>
      </w:r>
      <w:r w:rsidR="00A86EB9">
        <w:t xml:space="preserve"> а также не отражение в реестре </w:t>
      </w:r>
      <w:r>
        <w:t xml:space="preserve">муниципального </w:t>
      </w:r>
      <w:r w:rsidR="00A86EB9">
        <w:t xml:space="preserve">имущества и </w:t>
      </w:r>
      <w:r>
        <w:t xml:space="preserve">нефинансовых активах </w:t>
      </w:r>
      <w:r w:rsidR="00A86EB9">
        <w:t xml:space="preserve">имущества казны </w:t>
      </w:r>
      <w:r>
        <w:t xml:space="preserve"> сведений о количестве и стоимости отдельных  </w:t>
      </w:r>
      <w:r w:rsidR="00A86EB9">
        <w:t xml:space="preserve">объектов муниципальной собственности </w:t>
      </w:r>
      <w:r w:rsidR="00F72437">
        <w:t xml:space="preserve"> </w:t>
      </w:r>
      <w:r w:rsidR="00A86EB9">
        <w:t xml:space="preserve">имеют признаки  преднамеренных действий, </w:t>
      </w:r>
      <w:r w:rsidR="00F72437">
        <w:t>повлия</w:t>
      </w:r>
      <w:r w:rsidR="00A86EB9">
        <w:t>вших</w:t>
      </w:r>
      <w:r w:rsidR="00F72437">
        <w:t xml:space="preserve"> на достоверность </w:t>
      </w:r>
      <w:r w:rsidR="00A86EB9">
        <w:t xml:space="preserve"> отчета об исполнении местного бюджета за 2012 год.</w:t>
      </w:r>
    </w:p>
    <w:p w:rsidR="00B975EB" w:rsidRDefault="00B975EB" w:rsidP="00D56DDD">
      <w:pPr>
        <w:ind w:left="360"/>
        <w:jc w:val="both"/>
      </w:pP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Выводы и рекомендации</w:t>
      </w:r>
    </w:p>
    <w:p w:rsidR="00B0376E" w:rsidRDefault="00B0376E" w:rsidP="00B0376E">
      <w:pPr>
        <w:pStyle w:val="a3"/>
      </w:pPr>
    </w:p>
    <w:p w:rsidR="00B975EB" w:rsidRDefault="00B975EB" w:rsidP="00D058C3">
      <w:pPr>
        <w:ind w:firstLine="708"/>
        <w:jc w:val="both"/>
      </w:pPr>
      <w:r>
        <w:t>На основании вышеизложенного</w:t>
      </w:r>
      <w:r w:rsidR="00B0376E">
        <w:t xml:space="preserve"> Контрольно-счетная палата г.Тулуна</w:t>
      </w:r>
      <w:r>
        <w:t xml:space="preserve"> </w:t>
      </w:r>
      <w:r w:rsidR="00B0376E">
        <w:t xml:space="preserve"> рекомендует Думе городского округа:</w:t>
      </w:r>
      <w:r w:rsidR="000C0020">
        <w:t xml:space="preserve"> </w:t>
      </w:r>
    </w:p>
    <w:p w:rsidR="00847BCA" w:rsidRDefault="00B975EB" w:rsidP="00B975EB">
      <w:pPr>
        <w:ind w:firstLine="708"/>
        <w:jc w:val="both"/>
      </w:pPr>
      <w:r>
        <w:t xml:space="preserve">исходя из требований абз.2 ч.3 статьи 264.5 Бюджетного кодекса РФ  </w:t>
      </w:r>
      <w:r w:rsidR="00035B92">
        <w:t>отклонить  решени</w:t>
      </w:r>
      <w:r>
        <w:t>е</w:t>
      </w:r>
      <w:r w:rsidR="00035B92">
        <w:t xml:space="preserve"> </w:t>
      </w:r>
      <w:r w:rsidRPr="007A31D3">
        <w:t xml:space="preserve">«Об утверждении отчета об исполнении  бюджета муниципального образования – «город Тулун» за 2012 год»  </w:t>
      </w:r>
      <w:r>
        <w:t>в связи с недостоверным и неполным отражением данных в отчете об исполнен</w:t>
      </w:r>
      <w:r w:rsidR="00847BCA">
        <w:t>ии местного бюджета за 2012 год;</w:t>
      </w:r>
    </w:p>
    <w:p w:rsidR="00D36BBE" w:rsidRDefault="00847BCA" w:rsidP="00B975EB">
      <w:pPr>
        <w:ind w:firstLine="708"/>
        <w:jc w:val="both"/>
      </w:pPr>
      <w:r>
        <w:t xml:space="preserve"> </w:t>
      </w:r>
      <w:proofErr w:type="gramStart"/>
      <w:r>
        <w:t>в соответствии с п.3.5 Положения о бюджетном процессе в муниципальном образовании – «город Тулун»</w:t>
      </w:r>
      <w:r w:rsidR="007A31D3">
        <w:t>, утвержденного решением Думы городского округа от 13.05.2013г № 06-ДГО,</w:t>
      </w:r>
      <w:r>
        <w:t xml:space="preserve">  вынести решение  о возвращении  отчета об исполнении местного бюджета за 2012 год в администрацию городского округа для</w:t>
      </w:r>
      <w:r w:rsidR="00B975EB">
        <w:t xml:space="preserve"> </w:t>
      </w:r>
      <w:r>
        <w:t>устранения фактов  недостоверного  и неполного отражения данных и повторного представления в срок, не превышающий один месяц.</w:t>
      </w:r>
      <w:proofErr w:type="gramEnd"/>
    </w:p>
    <w:p w:rsidR="00D36BBE" w:rsidRDefault="00D36BBE" w:rsidP="00B0376E">
      <w:pPr>
        <w:jc w:val="both"/>
      </w:pPr>
    </w:p>
    <w:p w:rsidR="00D36BBE" w:rsidRDefault="00D36BBE" w:rsidP="00B0376E">
      <w:pPr>
        <w:jc w:val="both"/>
      </w:pPr>
    </w:p>
    <w:p w:rsidR="001D7C17" w:rsidRDefault="009676E8" w:rsidP="001D7C17">
      <w:pPr>
        <w:jc w:val="both"/>
      </w:pPr>
      <w:r>
        <w:t>П</w:t>
      </w:r>
      <w:r w:rsidR="001D7C17">
        <w:t>редседатель Контрольно-</w:t>
      </w:r>
    </w:p>
    <w:p w:rsidR="0022697C" w:rsidRDefault="001D7C17" w:rsidP="009676E8">
      <w:pPr>
        <w:jc w:val="both"/>
      </w:pPr>
      <w:r>
        <w:t xml:space="preserve">счетной палаты </w:t>
      </w:r>
      <w:proofErr w:type="spellStart"/>
      <w:r>
        <w:t>г.Тулуна</w:t>
      </w:r>
      <w:proofErr w:type="spellEnd"/>
      <w:r>
        <w:t xml:space="preserve">                                               </w:t>
      </w:r>
      <w:bookmarkStart w:id="0" w:name="_GoBack"/>
      <w:bookmarkEnd w:id="0"/>
      <w:r>
        <w:t xml:space="preserve">                    </w:t>
      </w:r>
      <w:proofErr w:type="spellStart"/>
      <w:r>
        <w:t>Е.В.Новикевич</w:t>
      </w:r>
      <w:proofErr w:type="spellEnd"/>
    </w:p>
    <w:sectPr w:rsidR="0022697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FA9" w:rsidRDefault="00894FA9" w:rsidP="0040595A">
      <w:r>
        <w:separator/>
      </w:r>
    </w:p>
  </w:endnote>
  <w:endnote w:type="continuationSeparator" w:id="0">
    <w:p w:rsidR="00894FA9" w:rsidRDefault="00894FA9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1D3">
          <w:rPr>
            <w:noProof/>
          </w:rPr>
          <w:t>2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FA9" w:rsidRDefault="00894FA9" w:rsidP="0040595A">
      <w:r>
        <w:separator/>
      </w:r>
    </w:p>
  </w:footnote>
  <w:footnote w:type="continuationSeparator" w:id="0">
    <w:p w:rsidR="00894FA9" w:rsidRDefault="00894FA9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731D"/>
    <w:rsid w:val="00017005"/>
    <w:rsid w:val="00027F43"/>
    <w:rsid w:val="00035B92"/>
    <w:rsid w:val="00054DF6"/>
    <w:rsid w:val="00067681"/>
    <w:rsid w:val="00092D4B"/>
    <w:rsid w:val="00094CFF"/>
    <w:rsid w:val="000B3225"/>
    <w:rsid w:val="000B4F05"/>
    <w:rsid w:val="000B5087"/>
    <w:rsid w:val="000B50A8"/>
    <w:rsid w:val="000C0020"/>
    <w:rsid w:val="00131265"/>
    <w:rsid w:val="0014078C"/>
    <w:rsid w:val="0015198F"/>
    <w:rsid w:val="001858DB"/>
    <w:rsid w:val="00197DE2"/>
    <w:rsid w:val="001A6B9A"/>
    <w:rsid w:val="001B7B79"/>
    <w:rsid w:val="001D7C17"/>
    <w:rsid w:val="001E004F"/>
    <w:rsid w:val="001F41E8"/>
    <w:rsid w:val="00213BC3"/>
    <w:rsid w:val="0022697C"/>
    <w:rsid w:val="002507F0"/>
    <w:rsid w:val="00254154"/>
    <w:rsid w:val="00265B3D"/>
    <w:rsid w:val="00271841"/>
    <w:rsid w:val="002725EA"/>
    <w:rsid w:val="002B2F2C"/>
    <w:rsid w:val="002C1414"/>
    <w:rsid w:val="002C518E"/>
    <w:rsid w:val="002D0B7A"/>
    <w:rsid w:val="002E33F6"/>
    <w:rsid w:val="0031670F"/>
    <w:rsid w:val="00316CA4"/>
    <w:rsid w:val="00330803"/>
    <w:rsid w:val="00334E98"/>
    <w:rsid w:val="00335266"/>
    <w:rsid w:val="003672D5"/>
    <w:rsid w:val="003723B6"/>
    <w:rsid w:val="003748E8"/>
    <w:rsid w:val="00377FCB"/>
    <w:rsid w:val="003A43E3"/>
    <w:rsid w:val="003A5189"/>
    <w:rsid w:val="003B4D69"/>
    <w:rsid w:val="003B4DD3"/>
    <w:rsid w:val="003E4840"/>
    <w:rsid w:val="003F2654"/>
    <w:rsid w:val="0040595A"/>
    <w:rsid w:val="0041100D"/>
    <w:rsid w:val="00442075"/>
    <w:rsid w:val="00452D94"/>
    <w:rsid w:val="00465521"/>
    <w:rsid w:val="00466D05"/>
    <w:rsid w:val="004808DE"/>
    <w:rsid w:val="004939DB"/>
    <w:rsid w:val="004B7035"/>
    <w:rsid w:val="004C418D"/>
    <w:rsid w:val="004C7362"/>
    <w:rsid w:val="004D4D3F"/>
    <w:rsid w:val="004E3197"/>
    <w:rsid w:val="004F2B25"/>
    <w:rsid w:val="005120E7"/>
    <w:rsid w:val="00516E6A"/>
    <w:rsid w:val="00520BCB"/>
    <w:rsid w:val="00550509"/>
    <w:rsid w:val="00553429"/>
    <w:rsid w:val="0057048C"/>
    <w:rsid w:val="00573E33"/>
    <w:rsid w:val="00580040"/>
    <w:rsid w:val="00586030"/>
    <w:rsid w:val="005915F3"/>
    <w:rsid w:val="005D1607"/>
    <w:rsid w:val="005D4422"/>
    <w:rsid w:val="00604BC3"/>
    <w:rsid w:val="0062648F"/>
    <w:rsid w:val="00634719"/>
    <w:rsid w:val="00657E6D"/>
    <w:rsid w:val="006955C8"/>
    <w:rsid w:val="006C7DF5"/>
    <w:rsid w:val="006E22D4"/>
    <w:rsid w:val="006F20C0"/>
    <w:rsid w:val="00701336"/>
    <w:rsid w:val="007644F5"/>
    <w:rsid w:val="0077380F"/>
    <w:rsid w:val="00784612"/>
    <w:rsid w:val="007A31D3"/>
    <w:rsid w:val="007D5640"/>
    <w:rsid w:val="007E2A3F"/>
    <w:rsid w:val="007F59D2"/>
    <w:rsid w:val="007F7FD9"/>
    <w:rsid w:val="008178F2"/>
    <w:rsid w:val="00824446"/>
    <w:rsid w:val="00847BCA"/>
    <w:rsid w:val="00853D25"/>
    <w:rsid w:val="0086149B"/>
    <w:rsid w:val="00872094"/>
    <w:rsid w:val="00873F81"/>
    <w:rsid w:val="00883F92"/>
    <w:rsid w:val="00891D8C"/>
    <w:rsid w:val="00894FA9"/>
    <w:rsid w:val="008B2DEB"/>
    <w:rsid w:val="008B3D16"/>
    <w:rsid w:val="0092336A"/>
    <w:rsid w:val="009272E3"/>
    <w:rsid w:val="009342F1"/>
    <w:rsid w:val="00941D2E"/>
    <w:rsid w:val="009676E8"/>
    <w:rsid w:val="00976436"/>
    <w:rsid w:val="0097692F"/>
    <w:rsid w:val="009C5AC2"/>
    <w:rsid w:val="009E2E1B"/>
    <w:rsid w:val="00A110DF"/>
    <w:rsid w:val="00A27BF4"/>
    <w:rsid w:val="00A761A8"/>
    <w:rsid w:val="00A86EB9"/>
    <w:rsid w:val="00A97014"/>
    <w:rsid w:val="00A97052"/>
    <w:rsid w:val="00AA720C"/>
    <w:rsid w:val="00AC7A71"/>
    <w:rsid w:val="00AE65F0"/>
    <w:rsid w:val="00AF3411"/>
    <w:rsid w:val="00B0376E"/>
    <w:rsid w:val="00B13BCE"/>
    <w:rsid w:val="00B436A9"/>
    <w:rsid w:val="00B91141"/>
    <w:rsid w:val="00B975EB"/>
    <w:rsid w:val="00B976A5"/>
    <w:rsid w:val="00BC2971"/>
    <w:rsid w:val="00BE2229"/>
    <w:rsid w:val="00C57163"/>
    <w:rsid w:val="00C71854"/>
    <w:rsid w:val="00C8164C"/>
    <w:rsid w:val="00C86EE8"/>
    <w:rsid w:val="00C9148B"/>
    <w:rsid w:val="00CA6354"/>
    <w:rsid w:val="00CF076C"/>
    <w:rsid w:val="00D058C3"/>
    <w:rsid w:val="00D14622"/>
    <w:rsid w:val="00D1553A"/>
    <w:rsid w:val="00D174B2"/>
    <w:rsid w:val="00D36BBE"/>
    <w:rsid w:val="00D47C19"/>
    <w:rsid w:val="00D50E60"/>
    <w:rsid w:val="00D56AA7"/>
    <w:rsid w:val="00D56DDD"/>
    <w:rsid w:val="00D7080E"/>
    <w:rsid w:val="00D83900"/>
    <w:rsid w:val="00D8509D"/>
    <w:rsid w:val="00DB08C0"/>
    <w:rsid w:val="00DC7C81"/>
    <w:rsid w:val="00DD235D"/>
    <w:rsid w:val="00DE58E6"/>
    <w:rsid w:val="00DE6631"/>
    <w:rsid w:val="00E003FD"/>
    <w:rsid w:val="00E17284"/>
    <w:rsid w:val="00E42024"/>
    <w:rsid w:val="00E61AC0"/>
    <w:rsid w:val="00E66F32"/>
    <w:rsid w:val="00E94417"/>
    <w:rsid w:val="00EA4B59"/>
    <w:rsid w:val="00EC323F"/>
    <w:rsid w:val="00EC4C73"/>
    <w:rsid w:val="00ED4CA4"/>
    <w:rsid w:val="00ED6707"/>
    <w:rsid w:val="00F143BC"/>
    <w:rsid w:val="00F1540D"/>
    <w:rsid w:val="00F1765E"/>
    <w:rsid w:val="00F3116F"/>
    <w:rsid w:val="00F47832"/>
    <w:rsid w:val="00F72437"/>
    <w:rsid w:val="00FB6DBF"/>
    <w:rsid w:val="00FD3213"/>
    <w:rsid w:val="00FE5E3F"/>
    <w:rsid w:val="00FE7550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66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66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DBC9-2555-4A0A-AF1A-7F3583D0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Admin</cp:lastModifiedBy>
  <cp:revision>35</cp:revision>
  <cp:lastPrinted>2013-10-08T01:51:00Z</cp:lastPrinted>
  <dcterms:created xsi:type="dcterms:W3CDTF">2013-10-02T07:18:00Z</dcterms:created>
  <dcterms:modified xsi:type="dcterms:W3CDTF">2013-10-08T01:51:00Z</dcterms:modified>
</cp:coreProperties>
</file>