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620"/>
        <w:gridCol w:w="230"/>
      </w:tblGrid>
      <w:tr w:rsidR="00E3006D" w:rsidRPr="00E3006D" w:rsidTr="00AF762B">
        <w:trPr>
          <w:cantSplit/>
        </w:trPr>
        <w:tc>
          <w:tcPr>
            <w:tcW w:w="10850" w:type="dxa"/>
            <w:gridSpan w:val="2"/>
          </w:tcPr>
          <w:p w:rsidR="00E3006D" w:rsidRPr="00E3006D" w:rsidRDefault="00E3006D" w:rsidP="00E3006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E3006D" w:rsidRPr="00E3006D" w:rsidRDefault="00E3006D" w:rsidP="00E3006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E3006D" w:rsidRPr="00E3006D" w:rsidTr="00AF762B">
        <w:trPr>
          <w:gridAfter w:val="1"/>
          <w:wAfter w:w="230" w:type="dxa"/>
          <w:cantSplit/>
        </w:trPr>
        <w:tc>
          <w:tcPr>
            <w:tcW w:w="10620" w:type="dxa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ГОРОДСКОГО  ОКРУГА  МУНИЦИПАЛЬНОГО  ОБРАЗОВАНИЯ – «ГОРОД ТУЛУН»</w:t>
            </w:r>
          </w:p>
        </w:tc>
      </w:tr>
      <w:tr w:rsidR="00E3006D" w:rsidRPr="00E3006D" w:rsidTr="00AF762B">
        <w:trPr>
          <w:cantSplit/>
        </w:trPr>
        <w:tc>
          <w:tcPr>
            <w:tcW w:w="10850" w:type="dxa"/>
            <w:gridSpan w:val="2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182880</wp:posOffset>
                      </wp:positionV>
                      <wp:extent cx="5600700" cy="0"/>
                      <wp:effectExtent l="20955" t="20955" r="26670" b="266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4.4pt" to="485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" strokeweight="3pt"/>
                  </w:pict>
                </mc:Fallback>
              </mc:AlternateContent>
            </w:r>
          </w:p>
        </w:tc>
      </w:tr>
      <w:tr w:rsidR="00E3006D" w:rsidRPr="00E3006D" w:rsidTr="00AF762B">
        <w:trPr>
          <w:cantSplit/>
        </w:trPr>
        <w:tc>
          <w:tcPr>
            <w:tcW w:w="10850" w:type="dxa"/>
            <w:gridSpan w:val="2"/>
          </w:tcPr>
          <w:p w:rsidR="00E3006D" w:rsidRPr="00E3006D" w:rsidRDefault="00E3006D" w:rsidP="00E300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Заключение   №  8- э</w:t>
      </w: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результатам </w:t>
      </w:r>
      <w:proofErr w:type="gramStart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экспертизы  проекта  решения  Думы городского</w:t>
      </w:r>
      <w:proofErr w:type="gramEnd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«Об утверждении отчета об исполнении бюджета муниципального образования - «город Тулун» за 2012 год»</w:t>
      </w:r>
    </w:p>
    <w:p w:rsidR="00E3006D" w:rsidRPr="00E3006D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24  мая  2013года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результатам проведения экспертизы  проекта  решения  Думы городского округа «Об утверждении отчета об исполнении бюджета муниципального образования - «город Тулун» за 2012 год», подготовлено специалистами   Контрольно-счётной палаты муниципального образования – «город Тулун» в соответствии с требованиями бюджетного законодательства РФ,  Положением о КСП г. Тулуна и  планом контрольной деятельности КСП на 2013 год.</w:t>
      </w:r>
      <w:proofErr w:type="gramEnd"/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контрольного мероприятия проанализированы документы,  составляющие бухгалтерскую отчетность,  бюджетную отчетность об исполнении бюджета муниципального образования -  «город Тулун» за 2012 год. В основу настоящего заключения вошли выводы,  факты и обоснования,  установленные при проведении внешней проверки годового отчета,  изложенные  в отчете по результатам внешней проверки  от 30.04.2013г   № - 3о.</w:t>
      </w:r>
    </w:p>
    <w:p w:rsid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D39" w:rsidRPr="00E3006D" w:rsidRDefault="00952D39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3006D" w:rsidRDefault="00952D39" w:rsidP="00952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3006D"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 порядка внесения  годового отчета об  исполнении бюджета в представительный орган</w:t>
      </w:r>
    </w:p>
    <w:p w:rsidR="00E3006D" w:rsidRPr="00E3006D" w:rsidRDefault="00E3006D" w:rsidP="00952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Статья 264.5 БК РФ регулирует вопросы представления, рассмотрения и утверждения годового отчета об исполнении бюджета законодательным (представительным) органом.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Годовой отчет об исполнении бюджета вносится в законодательный (представительный) орган  соответственно в форме  правового акта местного самоуправления в срок до 1 мая. Бюджетный кодекс предусматривает, что одновременно с отчетом об  исполнении бюджета вносится и ряд других документов. К таким документам относятся: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иная бюджетная отчетность об исполнении соответствующего бюджета, к которой относятся баланс исполнения бюджета, отчет о финансовых  результатах деятельности, отчет о движении денежных средств, пояснительная записка.</w:t>
      </w:r>
    </w:p>
    <w:p w:rsidR="00E3006D" w:rsidRPr="00E3006D" w:rsidRDefault="00E3006D" w:rsidP="00952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Думы города «Об утверждении отчета об исполнении  бюджета МО – «город Тулун» за 2011 год» внесен в установленные ср</w:t>
      </w:r>
      <w:r w:rsidR="00952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оки, или  30 апреля 2013 года.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006D" w:rsidRPr="00E3006D" w:rsidRDefault="00E3006D" w:rsidP="00E3006D">
      <w:pPr>
        <w:spacing w:after="0" w:line="240" w:lineRule="auto"/>
        <w:ind w:left="21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06D" w:rsidRPr="00E3006D" w:rsidRDefault="00E3006D" w:rsidP="00952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Правовая экспертиза проекта решения Думы городского округа «Об утверждении годового отчета об исполнении бюджета»</w:t>
      </w:r>
    </w:p>
    <w:p w:rsidR="00E3006D" w:rsidRPr="00E3006D" w:rsidRDefault="00E3006D" w:rsidP="00952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Бюджетным кодексом РФ, Положением о бюджетном процессе в МО город Тулун  предусмотрено понятие </w:t>
      </w:r>
      <w:r w:rsidRPr="00E300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«годовой отчет об исполнении бюджета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тексту проекта  решения  необходимо добавить слово «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3006D" w:rsidRPr="00E3006D" w:rsidRDefault="00E3006D" w:rsidP="00952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 программы  муниципальных внутренних  заимствований  за 2012 год (п. 9 решения), не может быть принят к утверждению в сумме 76127,5 тыс. рублей, поскольку в  приложениях 6, 7 решения,  получение  кредитов отражено  цифрой 0, другие заимствования   муниципальным образованием не привлекались.  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 будет выглядеть графа 5 приложения №8  как «Объем долга на 01.01.13» в сумме 0 тыс. руб., а не верхний предел долга на 01.01.13 года, поскольку  Программа  муниципальных внутренних заимствований, определяет в соответствии со статьей 107 БК РФ предельный объем  муниципального долга и  верхний предел муниципального  долга, </w:t>
      </w:r>
      <w:r w:rsidRPr="00E300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очередной финансовый год.</w:t>
      </w:r>
      <w:proofErr w:type="gramEnd"/>
    </w:p>
    <w:p w:rsidR="00E3006D" w:rsidRPr="00E3006D" w:rsidRDefault="00E3006D" w:rsidP="00952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11 решения «</w:t>
      </w:r>
      <w:r w:rsidR="00952D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отчета  о финансировании бюджетных инвестиций в объекты капитального строительства муниципальной собственности по получателям и объектам за 2012 год»  сумма</w:t>
      </w:r>
      <w:r w:rsidR="00952D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указанная в решении «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21550»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сумме указанной в приложении №10 «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21228».</w:t>
      </w:r>
    </w:p>
    <w:p w:rsidR="00E3006D" w:rsidRPr="00E3006D" w:rsidRDefault="00952D39" w:rsidP="00952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пункте 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 отчета о состоянии  муниципального долга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14) дополнить словами «в сумме 0 тыс. руб.» </w:t>
      </w:r>
    </w:p>
    <w:p w:rsid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D39" w:rsidRPr="00E3006D" w:rsidRDefault="00952D39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соблюдения бюджетного законодательства при организации бюджетного процесса  в муниципальном образовании</w:t>
      </w: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статьи 6 Бюджетного кодекса РФ  решением Думы  городского округа о бюджете  на 2012 год не утвержден  главный администратор доходов - Федеральная антимонопольная служба (Иркутское УФАС России) (код 161), поступление доходов за 2012 год составило 63,0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D39" w:rsidRDefault="00E3006D" w:rsidP="00C95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расходных обязательств и бюджетная роспись сформированы  в соответствии с действующим бюджетным законодательством, и соответствуют решению Думы о бюджете на 2012 год (в редакции от 29.12.2012 года № 53-ДГО).</w:t>
      </w:r>
    </w:p>
    <w:p w:rsidR="00E3006D" w:rsidRPr="00E3006D" w:rsidRDefault="00E3006D" w:rsidP="00952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решением Думы городского округа от 30.12.2011 года № 72-ДГО «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бюджете  муниципального образования – </w:t>
      </w:r>
      <w:r w:rsidR="00952D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ород Тулун</w:t>
      </w:r>
      <w:r w:rsidR="00952D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2012 год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утверждены 2 главных распорядителя бюджетных средств: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Тулуна», МУ «Дума города Тулуна»</w:t>
      </w:r>
      <w:r w:rsidR="00952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06D" w:rsidRPr="00E3006D" w:rsidRDefault="00E3006D" w:rsidP="00952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статьи 158 Бюджетного кодекса РФ </w:t>
      </w:r>
      <w:r w:rsidR="00C95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подведомственных распорядителей и получателей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</w:t>
      </w:r>
      <w:r w:rsidR="00C95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</w:t>
      </w:r>
      <w:r w:rsidR="00C958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 МУ «Администрация города Тулуна» на 2012 год не утвержден.  В связи с отсутствием  подведомственных распорядителей и получателей, в нарушение бюджетного законодательства, доводит само себе лимиты бюджетных обязательств.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006D" w:rsidRPr="00E3006D" w:rsidRDefault="00E3006D" w:rsidP="00C9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Полнота и соответствие  действующему законодательству форм годовой  бюджетной отчетности.  Оценка исполнения бюджета муниципального образования –</w:t>
      </w:r>
      <w:r w:rsidR="00C95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Тулун»  за 2012 год</w:t>
      </w:r>
    </w:p>
    <w:p w:rsidR="00E3006D" w:rsidRPr="00E3006D" w:rsidRDefault="00E3006D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lang w:eastAsia="ru-RU"/>
        </w:rPr>
        <w:t>4.1  Результаты  внешней  проверки годового отчета об исполнении бюджета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8BC" w:rsidRDefault="00C958BC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внешней проверки годового отчета об исполнении бюджета за 2012 год, проведенной специалистами КСП, установлено следующее: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58BC" w:rsidRDefault="00C958BC" w:rsidP="00E3006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4.1.1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Внешняя проверка баланса об исполнения бюджета</w:t>
      </w:r>
    </w:p>
    <w:p w:rsidR="00E3006D" w:rsidRPr="00E3006D" w:rsidRDefault="00E3006D" w:rsidP="00E300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 исполнения бюджета  содержит данные о нефинансовых и финансовых активах,  обязательствах  РФ,  субъектов РФ и муниципальных образований. </w:t>
      </w:r>
    </w:p>
    <w:p w:rsidR="00E3006D" w:rsidRPr="00E3006D" w:rsidRDefault="00E3006D" w:rsidP="00C95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анализа показателей баланса с показателями баланса ГРБС, установлены отклонения, которые изложены в следующей таблице: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выявленных отклонениях в балансе исполнения бюджета </w:t>
      </w: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– «город Тулун» на 01.01.2013г </w:t>
      </w: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00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="00C958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E3006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№ 1 (</w:t>
      </w:r>
      <w:proofErr w:type="spellStart"/>
      <w:r w:rsidRPr="00E3006D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</w:t>
      </w:r>
      <w:proofErr w:type="gramStart"/>
      <w:r w:rsidRPr="00E3006D">
        <w:rPr>
          <w:rFonts w:ascii="Times New Roman" w:eastAsia="Times New Roman" w:hAnsi="Times New Roman" w:cs="Times New Roman"/>
          <w:sz w:val="16"/>
          <w:szCs w:val="16"/>
          <w:lang w:eastAsia="ru-RU"/>
        </w:rPr>
        <w:t>.р</w:t>
      </w:r>
      <w:proofErr w:type="gramEnd"/>
      <w:r w:rsidRPr="00E3006D">
        <w:rPr>
          <w:rFonts w:ascii="Times New Roman" w:eastAsia="Times New Roman" w:hAnsi="Times New Roman" w:cs="Times New Roman"/>
          <w:sz w:val="16"/>
          <w:szCs w:val="16"/>
          <w:lang w:eastAsia="ru-RU"/>
        </w:rPr>
        <w:t>уб</w:t>
      </w:r>
      <w:proofErr w:type="spellEnd"/>
      <w:r w:rsidRPr="00E3006D">
        <w:rPr>
          <w:rFonts w:ascii="Times New Roman" w:eastAsia="Times New Roman" w:hAnsi="Times New Roman" w:cs="Times New Roman"/>
          <w:sz w:val="16"/>
          <w:szCs w:val="16"/>
          <w:lang w:eastAsia="ru-RU"/>
        </w:rPr>
        <w:t>.)</w:t>
      </w: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542"/>
        <w:gridCol w:w="1417"/>
        <w:gridCol w:w="1276"/>
        <w:gridCol w:w="1525"/>
      </w:tblGrid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показателей</w:t>
            </w:r>
          </w:p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</w:t>
            </w:r>
            <w:proofErr w:type="gramStart"/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(+),</w:t>
            </w:r>
            <w:proofErr w:type="gramEnd"/>
          </w:p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</w:t>
            </w:r>
            <w:proofErr w:type="gramStart"/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Выявленные в результате проверки отклонения:</w:t>
            </w:r>
          </w:p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завышение</w:t>
            </w:r>
            <w:proofErr w:type="gramStart"/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</w:t>
            </w:r>
            <w:proofErr w:type="gramEnd"/>
          </w:p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занижение</w:t>
            </w:r>
            <w:proofErr w:type="gramStart"/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Актив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Нефинансовые активы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14600,2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23094,9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+8494,7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основных средств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13475,1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14275,3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+800,2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(</w:t>
            </w:r>
            <w:proofErr w:type="spellStart"/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</w:t>
            </w:r>
            <w:proofErr w:type="spellEnd"/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стоимость)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1125,1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8819,7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+7694,6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запасы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841,9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+645,7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нефинансовые активы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54415,1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133577,7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+79162,6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Нефинансовые активы  имущества казны (</w:t>
            </w:r>
            <w:proofErr w:type="spellStart"/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</w:t>
            </w:r>
            <w:proofErr w:type="gramStart"/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т-ть</w:t>
            </w:r>
            <w:proofErr w:type="spellEnd"/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395682,5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483062,6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+87380,1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разделу 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451418,9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626301,9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+174883,0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Финансовые активы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9723,4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-9723,4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бюджетов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9818,7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19472,6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+9653,9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вложения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623151,8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638549,0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+15397,2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rPr>
          <w:trHeight w:val="24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11276,2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-2530,6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-13806,8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-464,6</w:t>
            </w: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выданным авансам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1707,1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511,3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-1195,8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+0,5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недостачам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rPr>
          <w:trHeight w:val="18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разделу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655673,0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655998,6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+325,6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rPr>
          <w:trHeight w:val="18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Баланс: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1107091,9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1282300,5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+175208,6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rPr>
          <w:trHeight w:val="2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Пассив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rPr>
          <w:trHeight w:val="23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3.Обязательства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кредиторами по долговым обязательствам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76127,5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-76127,5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принятым обязательствам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2315,6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+366,7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платежам в бюджеты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+167,3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расчеты с кредиторами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+7,2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rPr>
          <w:trHeight w:val="2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разделу 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78673,9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3087,6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-75586,3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4.Финансовый результат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1028418,0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1279212,9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+250794,9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+464,6</w:t>
            </w:r>
          </w:p>
        </w:tc>
      </w:tr>
      <w:tr w:rsidR="00E3006D" w:rsidRPr="00E3006D" w:rsidTr="00AF762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Баланс: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1107091,9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1282300,5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E3006D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+175208,6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</w:tbl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06D">
        <w:rPr>
          <w:rFonts w:ascii="Times New Roman" w:eastAsia="Calibri" w:hAnsi="Times New Roman" w:cs="Times New Roman"/>
          <w:sz w:val="24"/>
          <w:szCs w:val="24"/>
        </w:rPr>
        <w:t xml:space="preserve">Остаток на счете 110600000 «Вложения в нефинансовые активы» составил 133577,7 тыс. руб., из них: 8123,0 тыс. руб. - квартиры по долевому строительству по ул. Павлова, 28;  4371,1 тыс. руб. - канализационные сети к жилым домам по ул. Павлова;  2351,1 тыс. руб. - линии уличного освещения и др. и стоимость канализационных сетей к жилым домам по ул. Павлова, теплотрассы, водопровода, линии уличного освещения </w:t>
      </w:r>
      <w:r w:rsidRPr="00E3006D">
        <w:rPr>
          <w:rFonts w:ascii="Times New Roman" w:eastAsia="Calibri" w:hAnsi="Times New Roman" w:cs="Times New Roman"/>
          <w:b/>
          <w:sz w:val="24"/>
          <w:szCs w:val="24"/>
        </w:rPr>
        <w:t xml:space="preserve">в реестре муниципального имущества и нефинансовых активах имущества казны не отражены. 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6D">
        <w:rPr>
          <w:rFonts w:ascii="Times New Roman" w:eastAsia="Calibri" w:hAnsi="Times New Roman" w:cs="Times New Roman"/>
          <w:sz w:val="24"/>
          <w:szCs w:val="24"/>
        </w:rPr>
        <w:t xml:space="preserve"> Нефинансовые активы  имущества казны: остаток на конец года по балансовой стоимости составил 490047,3 тыс. рублей. В реестре муниципального имущества</w:t>
      </w:r>
      <w:r w:rsidRPr="00E3006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3006D">
        <w:rPr>
          <w:rFonts w:ascii="Times New Roman" w:eastAsia="Calibri" w:hAnsi="Times New Roman" w:cs="Times New Roman"/>
          <w:sz w:val="24"/>
          <w:szCs w:val="24"/>
        </w:rPr>
        <w:t xml:space="preserve">и  казне МО «город Тулун» не отражена  стоимость семи рекламных щитов на сумму 491,1 тыс. руб., уличной спортивной площадки на сумму 95,4 тыс. руб., всего на сумму </w:t>
      </w:r>
      <w:r w:rsidRPr="00E3006D">
        <w:rPr>
          <w:rFonts w:ascii="Times New Roman" w:eastAsia="Calibri" w:hAnsi="Times New Roman" w:cs="Times New Roman"/>
          <w:b/>
          <w:sz w:val="24"/>
          <w:szCs w:val="24"/>
        </w:rPr>
        <w:t>586,5</w:t>
      </w:r>
      <w:r w:rsidRPr="00E3006D">
        <w:rPr>
          <w:rFonts w:ascii="Times New Roman" w:eastAsia="Calibri" w:hAnsi="Times New Roman" w:cs="Times New Roman"/>
          <w:sz w:val="24"/>
          <w:szCs w:val="24"/>
        </w:rPr>
        <w:t xml:space="preserve"> тыс. рублей. 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Таким образом, баланс муниципального образования – «город Тулун» по состоянию на 01 января 2013 года содержит  недостоверные сведения в части финансовых активов  на сумму  464,6 </w:t>
      </w:r>
      <w:proofErr w:type="spellStart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нефинансовых активов на сумму 586,5тыс.руб.  и соответственно искажение  финансового результата.</w:t>
      </w:r>
    </w:p>
    <w:p w:rsidR="00E3006D" w:rsidRPr="00E3006D" w:rsidRDefault="00E3006D" w:rsidP="00E3006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4.1.2 Внешняя проверка отчета о финансовых результатах деятельности</w:t>
      </w:r>
    </w:p>
    <w:p w:rsidR="00E3006D" w:rsidRPr="00E3006D" w:rsidRDefault="00E3006D" w:rsidP="00E300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финансовых результатах  деятельности содержит данные о финансовом результате деятельности в отчетном периоде. 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внешней проверки установлены отклонения в части не достоверных сведений по операциям  с активами на сумму 1051,1 тыс. рублей.</w:t>
      </w:r>
    </w:p>
    <w:p w:rsidR="00E3006D" w:rsidRPr="00E3006D" w:rsidRDefault="00E3006D" w:rsidP="00E300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8BC" w:rsidRDefault="00C958BC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4.1.3  Внешняя проверка отчета о движении денежных средств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605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движении денежных средств отражает операции по счетам бюджетов, об операциях по поступлению и выбытию денежных средств содержит достоверные сведения.</w:t>
      </w:r>
    </w:p>
    <w:p w:rsidR="00C958BC" w:rsidRDefault="00C958BC" w:rsidP="00E3006D">
      <w:pPr>
        <w:numPr>
          <w:ilvl w:val="8"/>
          <w:numId w:val="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8BC" w:rsidRDefault="00C958BC" w:rsidP="00E3006D">
      <w:pPr>
        <w:numPr>
          <w:ilvl w:val="8"/>
          <w:numId w:val="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numPr>
          <w:ilvl w:val="8"/>
          <w:numId w:val="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 Внешняя проверка пояснительной записки</w:t>
      </w:r>
    </w:p>
    <w:p w:rsidR="00E3006D" w:rsidRPr="00E3006D" w:rsidRDefault="00E3006D" w:rsidP="00E3006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к отчету об исполнении консолидированного бюджета содержит разделы, предусмотренные Инструкцией 191н с учетом внесенных изменений, содержит анализ исполнения бюджета и бюджетной отчетности, сведения о результатах мероприятий внутреннего контроля, о проведении инвентаризации, о результатах контрольных мероприятий и другие сведения. В пояснительной записке не раскрыты сведения о причинах недофинансирования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(образования неиспользованных остатков бюджетных средств) и о мерах по повышению эффективности расходования бюджетных средств.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58BC" w:rsidRDefault="00C958BC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4.1.5 Внешняя проверка отчета об исполнении  бюджета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 содержит данные об исполнении бюджета по доходам, расходам и источникам финансирования дефицита бюджета в соответствии с бюджетной классификацией РФ.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внешней проверки показателей исполнения бюджета по доходам расходам, и источникам финансирования дефицита местного бюджета,  специалистами КСП установлено: Годовой отчет об исполнении бюджета муниципального образования – «город Тулун» представлен администрацией городского округа  на основании статьи 264.4 Бюджетного кодекса РФ.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отчетность  об исполнении бюджета  муниципального образования – «город Тулун» за 2012 год составлена в соответствии с приказом Министерства Российской Федерации от 28.12.2010г № 191н «Об утверждении инструкции о порядке составления и представления годовой, квартальной и месячной отчетности об  исполнении бюджетов бюджетной системы Российской Федерации». 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 председателя комитета по экономике и финансам администрации городского округа от 11.03.2012г № 22  утвержден порядок составления и представления годовой,  квартальной и месячной отчетности об исполнении  бюджета муниципального образования – «город Тулун» за 2012 год.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5247" w:rsidRDefault="00605247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4.1.6 Анализ дебиторской и кредиторской задолженности</w:t>
      </w:r>
    </w:p>
    <w:p w:rsidR="00E3006D" w:rsidRPr="00E3006D" w:rsidRDefault="00E3006D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сравнении с началом года сумма дебиторской задолженности уменьшилась  и по состоянию на 01.01.2013 года  составила 17197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Наибольшая сумма дебиторской задолженности  образовалась на счете 1205000 «Расчеты по доходам» 16682 тыс. руб., что составляет 97% от общей суммы задолженности, данная сумма задолженности сложилась, в том числе по доходам, получаемым в виде арендной платы за земли в размере 10455 тыс. руб.,  по доходам от сдачи в аренду имущества в размере 6118 тыс. руб. из них 278 тыс. руб. задолженность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нереальная к взысканию; по штрафам КДН в размере 4 тыс. руб., которая является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просроченной задолженностью; по оплате неустойки за нарушение (несоблюдение) условий муниципальных контрактов в размере 109 тыс. руб.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дебиторской задолженности по расчетам с поставщиками и подрядчиками  на счете 1206000  «Расчеты по выданным авансам» уменьшилась в сравнении с началом года на 1196 тыс. руб. и состав</w:t>
      </w:r>
      <w:r w:rsidR="006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511 тыс. руб. или 3% от общего объема задолженности. 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расчетам с подотчетными лицами на счете 1208000 по состоянию на 01.01.2013 года  имеется кредиторская задолженность в сумме 3,7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 января 2013 года сумма кредиторской задолженности составила 3088 тыс. руб., которая в сравнении с началом периода  увеличилась на 541 тыс. руб. 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задолженности по платежам в бюджет в сравнении с началом периода  увеличилась на 167 тыс. руб. и составила 398 тыс. руб. или 13%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сумма  кредиторской задолженности образовалась на счете 0302000 «Расчеты по принятым обязательствам» 2682 тыс. руб. или 87% от общей суммы задолженности в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заработной плате 1487 тыс. руб.,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начислениям на оплату труда 16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приобретению материальных запасов 20 тыс. руб., по прочим расходам 86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безвозмездным перечислениям организациям, за исключением государственных и муниципальных организаций 895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др. Просроченной кредиторской задолженности  по состоянию на 01.01.2013 года нет. Муниципальный долг  в муниципальном образовании по состоянию на 01.01.2013 года отсутствует</w:t>
      </w:r>
      <w:r w:rsidRPr="00E3006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финансов Иркутской области произведено списание оставшейся задолженности по муниципальному долгу на основании соглашения от 24.05.2012 года № 06/2005/2009/2010.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имеющейся кредиторской задолженности допускается отвлечение денежных сре</w:t>
      </w:r>
      <w:proofErr w:type="gramStart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в д</w:t>
      </w:r>
      <w:proofErr w:type="gramEnd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ебиторскую задолженность в размере 320 тыс. руб.</w:t>
      </w:r>
    </w:p>
    <w:p w:rsidR="00E3006D" w:rsidRPr="00E3006D" w:rsidRDefault="00E3006D" w:rsidP="00605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проведенной  внешней проверки годового отчета об исполнении бюджета за 2012 год установлено следующее: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 неэффективно  использованных бюджетных сре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 9</w:t>
      </w:r>
      <w:r w:rsidR="000241A0">
        <w:rPr>
          <w:rFonts w:ascii="Times New Roman" w:eastAsia="Times New Roman" w:hAnsi="Times New Roman" w:cs="Times New Roman"/>
          <w:sz w:val="24"/>
          <w:szCs w:val="24"/>
          <w:lang w:eastAsia="ru-RU"/>
        </w:rPr>
        <w:t>79,8 тыс. рублей;</w:t>
      </w:r>
    </w:p>
    <w:p w:rsidR="00454675" w:rsidRDefault="00E3006D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ущерба</w:t>
      </w:r>
      <w:r w:rsidR="004546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нанесенного муниципальному образованию 376,1</w:t>
      </w:r>
      <w:r w:rsidR="0045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54675" w:rsidRDefault="00454675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-объем средств, использованных не по целевому назначению 464,9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4675" w:rsidRDefault="00454675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-объем неучтенных средств местного бюджета 464,6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4675" w:rsidRDefault="00454675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-объем средств, использованных с нарушением действующего законодательства 60,1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4675" w:rsidRDefault="00454675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-несанкционированное принятие бюджетных обязательств 38,8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4675" w:rsidRDefault="00454675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-стоимость неучтенных недвижимых объектов муниципальной собственности 586,5 тыс. р</w:t>
      </w:r>
      <w:r w:rsidR="008032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ублей;</w:t>
      </w:r>
    </w:p>
    <w:p w:rsidR="008032F7" w:rsidRDefault="008032F7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-документально не подтверждены расходы 43,9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675" w:rsidRDefault="00454675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675" w:rsidRDefault="00454675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Оценка исполнения бюджета муниципального образования за 2012 год</w:t>
      </w: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 Исполнение бюджета по доходам</w:t>
      </w:r>
    </w:p>
    <w:p w:rsidR="00E3006D" w:rsidRPr="00E3006D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3006D" w:rsidRDefault="00E3006D" w:rsidP="00454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Анализируя данные отчета об исполнении местного бюджета, в ходе настоящей проверки было установлено следующее:  в  структуре  доходной части местного бюджета  налоговые и неналоговые поступления составляют 30%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год -37%), безвозмездные поступления 70% (2011г- 63%).  Наибольший удельный вес в налоговых и неналоговых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поступлениях  занимает налог на доходы физических лиц  47%,   налоги на совокупный доход – 14%,  налоги на имущество – 8%,доходы от использования муниципальной собственности -8 % .</w:t>
      </w:r>
    </w:p>
    <w:p w:rsidR="00454675" w:rsidRDefault="00E3006D" w:rsidP="00454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исполнения  по налоговым и  неналоговым  поступлениям не выполнен и составил  98,5%, не  поступило в бюджет города 3874 тыс. рублей. В основном не исполнен план по доходам  от использования имущества, находящегося в муниципальной собственности    2735тыс. рублей.</w:t>
      </w:r>
    </w:p>
    <w:p w:rsidR="00E3006D" w:rsidRPr="00E3006D" w:rsidRDefault="00E3006D" w:rsidP="00454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Безвозмездные поступления  исполнены на  98%</w:t>
      </w:r>
      <w:r w:rsidR="004546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бюджета за 2012 год составили 880892,0 тыс. руб., исполнение  к уточненному плану  составило 94%. </w:t>
      </w:r>
    </w:p>
    <w:p w:rsidR="00E3006D" w:rsidRPr="00E3006D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675" w:rsidRDefault="00454675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Исполнение бюджета по расходам</w:t>
      </w:r>
    </w:p>
    <w:p w:rsidR="00E3006D" w:rsidRPr="00E3006D" w:rsidRDefault="00E3006D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006D" w:rsidRPr="00E3006D" w:rsidRDefault="00454675" w:rsidP="00454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асходная часть  местного бюджета за 2012 год  исполнена в объеме 870477 тыс. руб., или 96% к утвержденным назначениям, не выполнено расходных обязательств в объеме  34 188 тыс. рублей. </w:t>
      </w:r>
      <w:proofErr w:type="gramStart"/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уточненных расходных обязательств составило   по причине связанной с тем,  что  администрацией городского округа не выполнены намерения по привлечению кредитных ресурсов,  как одного  из основных  источников финансирования дефицита местного  бюджета, а также не обеспечено полное  взыскание платежей за аренду земли и аренду муниципального имущества, что повлекло  отвлечение средств в дебиторскую задолженность местного бюджета.</w:t>
      </w:r>
      <w:proofErr w:type="gramEnd"/>
    </w:p>
    <w:p w:rsidR="00E3006D" w:rsidRPr="00E3006D" w:rsidRDefault="00E3006D" w:rsidP="003E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Низкое исполнение </w:t>
      </w:r>
      <w:r w:rsidR="003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расходных обязательств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32%  составило  по подразделу 1105 «Другие вопросы в области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спорта», в связи с неиспользованием денежных средств на строительство бассейна в размере 20 000 тыс. руб.</w:t>
      </w:r>
    </w:p>
    <w:p w:rsidR="003E67D0" w:rsidRDefault="00E3006D" w:rsidP="003E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расходной части бюджета за 2012 год в разрезе ведомственной структуры расходов бюджета  характеризуется следующими показателями:</w:t>
      </w:r>
    </w:p>
    <w:p w:rsidR="00E3006D" w:rsidRPr="00E3006D" w:rsidRDefault="00E3006D" w:rsidP="003E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Главными распорядителями бюджетных средств являлись:</w:t>
      </w:r>
    </w:p>
    <w:p w:rsidR="00E3006D" w:rsidRPr="00E3006D" w:rsidRDefault="00E3006D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-  МУ «Администрация города Тулуна» (910) - 863321,0 тыс. руб. или 99%  от всех произведенных расходов.  Главным распорядителем принято к исполнению расходных обязательств в сумме 897 493 тыс. рублей, исполнение составило 96%, не приняты меры к исполнению расходных обязательств на  сумму 34 172 тыс. рублей.</w:t>
      </w:r>
    </w:p>
    <w:p w:rsidR="00E3006D" w:rsidRPr="00E3006D" w:rsidRDefault="00E3006D" w:rsidP="0045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-  МУ «Дума города Тулуна»  (912)  - 7156,0 тыс. руб., или 1% от произведенных расходов. Главным распорядителем бюджетных средств</w:t>
      </w:r>
      <w:r w:rsidR="000131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к исполнению расходных обязательств в сумме 7172 тыс. рублей, исполнение составило 99,8%.</w:t>
      </w:r>
    </w:p>
    <w:p w:rsidR="00E3006D" w:rsidRPr="00E3006D" w:rsidRDefault="003E67D0" w:rsidP="00013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2012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фактический расход  бюджетных средств  составил 679 271,0 тыс. рублей или 116% от первоначально утвержденного объема.             </w:t>
      </w:r>
    </w:p>
    <w:p w:rsidR="00E3006D" w:rsidRPr="00E3006D" w:rsidRDefault="003E67D0" w:rsidP="003E67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настоящей проверки проводились мероприятия по правильности и полноты отражения расходных обязательств по разделам и целевым статьям местного бюджета, в результате установлено:</w:t>
      </w:r>
    </w:p>
    <w:p w:rsidR="00E3006D" w:rsidRPr="00E3006D" w:rsidRDefault="00E3006D" w:rsidP="003E6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6D">
        <w:rPr>
          <w:rFonts w:ascii="Times New Roman" w:eastAsia="Calibri" w:hAnsi="Times New Roman" w:cs="Times New Roman"/>
          <w:sz w:val="24"/>
          <w:szCs w:val="24"/>
        </w:rPr>
        <w:t xml:space="preserve">По  подразделу </w:t>
      </w:r>
      <w:r w:rsidRPr="00E3006D">
        <w:rPr>
          <w:rFonts w:ascii="Times New Roman" w:eastAsia="Calibri" w:hAnsi="Times New Roman" w:cs="Times New Roman"/>
          <w:b/>
          <w:sz w:val="24"/>
          <w:szCs w:val="24"/>
        </w:rPr>
        <w:t>0113  «Другие общегосударственные вопросы</w:t>
      </w:r>
      <w:r w:rsidRPr="00E3006D">
        <w:rPr>
          <w:rFonts w:ascii="Times New Roman" w:eastAsia="Calibri" w:hAnsi="Times New Roman" w:cs="Times New Roman"/>
          <w:sz w:val="24"/>
          <w:szCs w:val="24"/>
        </w:rPr>
        <w:t>»  отражены расходы в сумме  61</w:t>
      </w:r>
      <w:r w:rsidR="0001315E">
        <w:rPr>
          <w:rFonts w:ascii="Times New Roman" w:eastAsia="Calibri" w:hAnsi="Times New Roman" w:cs="Times New Roman"/>
          <w:sz w:val="24"/>
          <w:szCs w:val="24"/>
        </w:rPr>
        <w:t xml:space="preserve">,7 </w:t>
      </w:r>
      <w:proofErr w:type="spellStart"/>
      <w:r w:rsidR="0001315E">
        <w:rPr>
          <w:rFonts w:ascii="Times New Roman" w:eastAsia="Calibri" w:hAnsi="Times New Roman" w:cs="Times New Roman"/>
          <w:sz w:val="24"/>
          <w:szCs w:val="24"/>
        </w:rPr>
        <w:t>тыс.</w:t>
      </w:r>
      <w:r w:rsidRPr="00E3006D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E3006D">
        <w:rPr>
          <w:rFonts w:ascii="Times New Roman" w:eastAsia="Calibri" w:hAnsi="Times New Roman" w:cs="Times New Roman"/>
          <w:sz w:val="24"/>
          <w:szCs w:val="24"/>
        </w:rPr>
        <w:t>., по договору заключенному с ФГУП «</w:t>
      </w:r>
      <w:proofErr w:type="spellStart"/>
      <w:r w:rsidRPr="00E3006D">
        <w:rPr>
          <w:rFonts w:ascii="Times New Roman" w:eastAsia="Calibri" w:hAnsi="Times New Roman" w:cs="Times New Roman"/>
          <w:sz w:val="24"/>
          <w:szCs w:val="24"/>
        </w:rPr>
        <w:t>Ростехинвентаризация</w:t>
      </w:r>
      <w:proofErr w:type="spellEnd"/>
      <w:r w:rsidRPr="00E3006D">
        <w:rPr>
          <w:rFonts w:ascii="Times New Roman" w:eastAsia="Calibri" w:hAnsi="Times New Roman" w:cs="Times New Roman"/>
          <w:sz w:val="24"/>
          <w:szCs w:val="24"/>
        </w:rPr>
        <w:t>» на оказание услуг по технической инвентаризации и сопровождению постановки на кадастровый учет объектов капитального строительства, расположенных по ул</w:t>
      </w:r>
      <w:proofErr w:type="gramStart"/>
      <w:r w:rsidRPr="00E3006D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E3006D">
        <w:rPr>
          <w:rFonts w:ascii="Times New Roman" w:eastAsia="Calibri" w:hAnsi="Times New Roman" w:cs="Times New Roman"/>
          <w:sz w:val="24"/>
          <w:szCs w:val="24"/>
        </w:rPr>
        <w:t xml:space="preserve">авлова,28 квартиры 1,2,5,8,11,13,19,20,24,25. Данные расходы следовало производить за счет средств, выделенных на мероприятия муниципальной целевой программы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«Переселение граждан из ветхого и аварийного  жилищного фонда в муниципальном образовании – «город Тулун» на 2007-2019 годы и отразить по подразделу 0501 «Жилищно-коммунальное хозяйство».</w:t>
      </w:r>
    </w:p>
    <w:p w:rsidR="003E67D0" w:rsidRDefault="00E3006D" w:rsidP="003E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местного бюджета  по подразделу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0409 «Дорожное хозяйство (дорожные фонды)» целевой статье 315 00 00 «Дорожное хозяйство»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который включает  расходы на обеспечение  деятельности учреждений, осуществляющих управление в сфере  дорожного хозяйства, расходы на  строительство, реконструкцию,  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капитальный ремонт, ремонт и содержание  действующей сети автомобильных дорог общего пользования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осуществлены расходы по  устройству тротуаров по ул. Ленина, № №</w:t>
      </w:r>
      <w:r w:rsidR="003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91,97,79, 126 на общую сумму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1197,0 тыс. руб., а также установка остановочного павильона в сумме 21,5 тыс. рублей, всего на сумму 1219,0 тыс. рублей. 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в соответствии с указаниями о порядке применения бюджетной классификации РФ, утвержденной Приказом  Минфина России от 21.12.2011 № 180-н  не являются расходами,  связанными с данным подразделом, поскольку согласно разъяснений указанных в части 2.13  Приказа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Минрегиона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27.12.2011 № 613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тротуары, аллеи, дорожки, тропинки относятся к пешеходным коммуникациям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не к автомобильным дорогам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06D" w:rsidRPr="00E3006D" w:rsidRDefault="00E3006D" w:rsidP="003E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0502 «Коммунальное хозяйство»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отражены расходы ДЦП</w:t>
      </w:r>
      <w:r w:rsidR="003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«Энергосбережение и повышение  энергетической  эффективности на территории  Иркутской области на 2011-2015гг» в сумме 106,2 тыс. руб., оплаченные за оказание услуг энергетического обследования образовательных учреждений (школа №2</w:t>
      </w:r>
      <w:r w:rsidR="003E67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№4), Расходы в сумме 198,0 тыс. руб. оплачены за проведение обязательного  энергетического обследования,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составление энергетических  паспортов за 9 образовательных учреждений, так же частичная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муниципальному контракту за образовательные учреждения  в сумме 54, 3 тыс. руб.</w:t>
      </w:r>
    </w:p>
    <w:p w:rsidR="00E3006D" w:rsidRPr="00E3006D" w:rsidRDefault="00E3006D" w:rsidP="003E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сумме 125,0 тыс. руб. оплачены за проектирование узлов присоединения приборов учета тепловой энергии в жилых домах по ул. Ленина д</w:t>
      </w:r>
      <w:r w:rsidR="00013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15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E67D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1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1,2,9,11,12,19,29,30,86, а также 99,3  тыс. рублей произведено перечисление субсидии на реализацию мероприятий по оснащению жилищного фонда, присоединенного к системам централизованного 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приборами учета потребления  энергетических ресурсов и воды.</w:t>
      </w:r>
    </w:p>
    <w:p w:rsidR="003E67D0" w:rsidRDefault="00E3006D" w:rsidP="003E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расходы в сумме 583 тыс. руб., в соответствии с указаниями о порядке применения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классификации РФ, утвержденной Приказом  Минфина России от 21.12.2011 № 180-н не являются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расходами, связанными с данным подразделом.</w:t>
      </w:r>
    </w:p>
    <w:p w:rsidR="00E3006D" w:rsidRPr="003E67D0" w:rsidRDefault="003E67D0" w:rsidP="003E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одраздел</w:t>
      </w:r>
      <w:r w:rsidR="00E674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006D"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0503 «Благоустройство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подлежат отражению расходы на 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 и повышение комфортности условий проживания граждан и т.д.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- 443,0 тыс. руб., за счет средств местного бюджета утвержденных по подразделу 0503 в 2012 году, оплачены расходы  на капитальный ремонт крыльца Аптеки №17 (ул. Ленина,19);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- 2 555,0 тыс. руб., за счет ДЦП «Предупреждение и снижение ущербов от наводнений на 2011-2015г», реализация  программных мероприятий оплачена по данному подразделу на производство работ по объекту «Расчистка и углубление русла реки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Тулунчик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производство работ по системе водоотведения северного района (реконструкция водопропускных  сооружений по трассе).</w:t>
      </w:r>
    </w:p>
    <w:p w:rsidR="00E3006D" w:rsidRPr="00E674B3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- 98,0 тыс. рублей расходы МЦП «Повышение  безопасности дорожного движения на территории города Тулуна на 2009-2013 годы» оплачены расходы за изготовление и установку дорожных знаков.  Автомобильная дорога в установленных границах включает земляное полотно с укреплениями, верхнее покрытие и обстановку дороги (дорожные знаки) разъяснения ОК013-94 «Общероссийский классификатор основных фондов»,</w:t>
      </w:r>
      <w:r w:rsidR="00E6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 соответствии  с указаниями о порядке применения бюджетной классификации РФ, утвержденной Приказом  Минфина России от 21.12.2011  № 180-н не являются расходами,  связанными с данным подразделом</w:t>
      </w:r>
      <w:r w:rsidR="00E67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06D" w:rsidRPr="00E3006D" w:rsidRDefault="00E3006D" w:rsidP="00E67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0709 «Другие вопросы в области образования» 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 расходы  на обеспечение деятельности органов исполнительной  РФ, субъектов РФ и органов местного самоуправления, учреждений, осуществляющих   управление в сфере образования,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разработку и осуществление общей политики, планов, программ и бюджетов в области образования, управления ими и др., обеспечение деятельности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методических кабинетов, межшкольных учебных комбинатах, централизованных бухгалтерий, групп хозяйственного обслуживания, учебных фильмотек, а также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расходы на реализацию межгосударственных договоров РФ, предоставление субсидий юридическим лицам в указанной сфере деятельности и расходы на иные вопросы в области образования, не отнесенные на другие подразделы данного раздела.</w:t>
      </w:r>
    </w:p>
    <w:p w:rsidR="00E3006D" w:rsidRPr="00E3006D" w:rsidRDefault="00E3006D" w:rsidP="00E67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расходы в сумме 2789,0 тыс. руб.,  на открытие 6 дополнительных групп в д/с «Гармония» и школе № 19 не являются расходами данного подраздела, также как и расходы в сумме 1110 тыс. руб., на модерни</w:t>
      </w:r>
      <w:r w:rsidR="00E674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зацию школьных пищеблоков (школы №№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1,4,25). </w:t>
      </w:r>
    </w:p>
    <w:p w:rsidR="00E3006D" w:rsidRPr="00E3006D" w:rsidRDefault="00E3006D" w:rsidP="00E67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Таким образом, расходы бюджета за 2012 год отраженные в годовом отчете по  разделам</w:t>
      </w:r>
      <w:r w:rsidR="00013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E300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подразделам, целевым статьям и видам расходов классификации расходов бюджета  в  приложениях  к проекту решения № №3,4,5 не соответствуют бюджетному законодательству.</w:t>
      </w:r>
    </w:p>
    <w:p w:rsidR="00E3006D" w:rsidRPr="00E3006D" w:rsidRDefault="00E3006D" w:rsidP="00E67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выборочной проверке правильности отражения расходов по разделам и подразделам бюджетной классификации РФ установлены  нарушения бюджетного законодательства всего на 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9437,0 тыс. руб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части не верного применения бюджетной классификации РФ, утвержденной Приказом  Минфина России от 21.12.2011  № 180-н,  расходы, имеющие нецелевое использование бюджетных средств в сумме 465,0 тыс. руб., неэффективные расходы бюджетных средств – 980,0 тыс. руб.,  объем ущерба, нанесенного муниципальному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образованию – 376 тыс. рублей, объем выявленных неучтенных средств местного бюджета – 465 тыс. рублей всего на сумму –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2329,0 тыс.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88B" w:rsidRDefault="00E2488B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2488B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 Показатели  источников финансирования дефицита бюджета</w:t>
      </w: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006D" w:rsidRPr="00E3006D" w:rsidRDefault="00E3006D" w:rsidP="00E2488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 источников финансирования дефицита бюджета по кодам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показатели источников внутреннего финансирования дефицита бюджета   за 2012 год  отражены в приложениях к решению о бюджете № 6,7.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муниципального образования – «город Тулун» за 2012 год утвержден решением Думы города от 30.12.2011 года № 72-ДГО с превышением расходов над доходами  (дефицит)  в сумме 23326,0 тыс. рублей или 9,3%,  исполнен с превышением доходов над расходами (профицит)  в сумме 10415,0 тыс. руб., приложения № 6,7  соответствуют действительности.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средств на счете муниципального образования – «город Тулун»  по состоянию на 01.01.2013 года составил 18 730,8 тыс. руб., из них  средства местного бюджета составили 1571 тыс. рублей. 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8B" w:rsidRDefault="00E2488B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2488B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5.4 Отчет об использовании ассигнований резервного фонда  </w:t>
      </w: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006D" w:rsidRPr="00E3006D" w:rsidRDefault="00E3006D" w:rsidP="00E2488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использовании ассигнований резервного фонда представлен в   приложении №  12  к проекту решения.</w:t>
      </w:r>
    </w:p>
    <w:p w:rsidR="00E3006D" w:rsidRPr="00E3006D" w:rsidRDefault="00E3006D" w:rsidP="00E2488B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Резервный фонд муниципального образования –</w:t>
      </w:r>
      <w:r w:rsidR="0080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Тулун» на 2012 год утвержден решением Думы (в редакции от 29.12.12 № 53-ДГО)  в сумме 0 тыс. руб.,   расходы из средств резервного фонда в 2012 году  не производились.</w:t>
      </w:r>
    </w:p>
    <w:p w:rsidR="00E3006D" w:rsidRPr="00E3006D" w:rsidRDefault="00E3006D" w:rsidP="00E3006D">
      <w:pPr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488B" w:rsidRDefault="00E2488B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2488B" w:rsidRDefault="00E3006D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5.5 Оценка показателей отчета о состоянии муниципального долга </w:t>
      </w:r>
    </w:p>
    <w:p w:rsidR="00E3006D" w:rsidRPr="00E3006D" w:rsidRDefault="00E3006D" w:rsidP="00E2488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отчета о состоянии муниципального долга отражены в  приложении №14.  Муниципальный долг МО - «город Тулун» на начало   финансового года   составил  76127,5 тыс. руб.</w:t>
      </w:r>
      <w:r w:rsidR="00E2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2012 году  муниципальным образованием – «город Тулун»  погашен 1%  остатка основного  долга, возникшего  в соответствии с Соглашением о реструктуризации остатка основного  долга в сумме 761,2 тыс. рублей.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 с выполнением   условий по вышеуказанному соглашению Министерством финансов Иркутской области произведено списание  задолженности  по реструктуризированным бюджетным кредитам в сумме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75 366,2 тыс. рублей.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бюджетные кредиты администрацией городского округа в отчетном году не привлекались. Показатели</w:t>
      </w:r>
      <w:r w:rsidR="00E248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отраженные в  приложение № 14 соответствует действительности.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E2488B" w:rsidRDefault="00E2488B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6.Сравнительная оценка финансовой устойчивости бюджета</w:t>
      </w:r>
    </w:p>
    <w:p w:rsidR="00E3006D" w:rsidRPr="00E3006D" w:rsidRDefault="00E3006D" w:rsidP="00E3006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показатели бюджета </w:t>
      </w:r>
      <w:proofErr w:type="spellStart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улуна</w:t>
      </w:r>
      <w:proofErr w:type="spellEnd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2011 год и 2012 год </w:t>
      </w:r>
    </w:p>
    <w:p w:rsidR="00E3006D" w:rsidRPr="00E3006D" w:rsidRDefault="00E3006D" w:rsidP="00E30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Таблица № </w:t>
      </w:r>
      <w:r w:rsidR="00E248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80"/>
        <w:gridCol w:w="2076"/>
        <w:gridCol w:w="1775"/>
      </w:tblGrid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2011 года</w:t>
            </w:r>
          </w:p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2012</w:t>
            </w:r>
          </w:p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Налоговые, неналоговые доходы, прочие безвозмездные поступления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256341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267259</w:t>
            </w:r>
          </w:p>
        </w:tc>
      </w:tr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(за исключением субвенций)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242736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320016</w:t>
            </w:r>
          </w:p>
        </w:tc>
      </w:tr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(стр.1+стр.2)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499077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587275</w:t>
            </w:r>
          </w:p>
        </w:tc>
      </w:tr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293617</w:t>
            </w:r>
          </w:p>
        </w:tc>
      </w:tr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общие   (стр.3+стр.4)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688737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880892</w:t>
            </w:r>
          </w:p>
        </w:tc>
      </w:tr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679271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870477</w:t>
            </w:r>
          </w:p>
        </w:tc>
      </w:tr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муниципального долга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Превышение кредиторской задолженности </w:t>
            </w:r>
            <w:proofErr w:type="gramStart"/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дебиторской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бюджетной зависимости 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бюджетной обеспеченности  на 1-го жителя (тыс. руб.)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E3006D" w:rsidRPr="00E3006D" w:rsidTr="00AF76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бюджетной задолженности 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D" w:rsidRPr="00E3006D" w:rsidRDefault="00E3006D" w:rsidP="00E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3006D" w:rsidRDefault="00E3006D" w:rsidP="00E2488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устойчивость бюджета муниципального образования  определяется, прежде всего, его финансовой самостоятельностью. Показатель бюджетной зависимости составил за 2012 год 54,5 %, что свидетельствует о большой зависимости местного бюджета от средств вышестоящего уровня власти. По сравнению с предыдущим годом  показатель бюджетной зависимости увеличился еще на 5,9 %.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п.3 ст.136 Бюджетного кодекса РФ  муниципальные образования, в бюджетах которых доля межбюджетных трансфертов субъектов РФ (за исключением субвенций) и (или)  налоговых доходов  по дополнительным нормативам отчислений в течение  двух из трех последних отчетных финансовых  лет превышала 30 %  собственных доходов  местного бюджета, начиная с очередного финансового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 права устанавливать и исполнять расходные обязательства, не связанные с решением  вопросов, отнесенных Конституцией РФ, федеральными законами, законами субъектов РФ к полномочиям соответствующих органов местного самоуправления. 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п.2 ст.16.1 федерального закона  от 06.10.2003г № 131-ФЗ «Об общих  принципах организации местного самоуправления в Российской Федерации» органы местного самоуправления имеют право решать вопросы, прямо не предусмотренные указанным законом, если решение  подобных вопросов не исключено из компетенции органов местного самоуправления федеральным законодательством и законодательством субъектов РФ.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МУ «Администрация города Тулуна», вышла за пределы  своей компетенции, решая вопросы,  прямо исключенные из ведения  органов местного самоуправления.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 федерального закона от 10.12.2004 № 210-ФЗ «Об основах регулирования тарифов организаций коммунального комплекса» произвела расходы из местного бюджета в сумме 2918,0  тыс. руб.,   на мероприятия строительства канализационных сетей к жилым домам по ул. Павлова,  в интересах организации с частной формой собственности ОАО «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Облжилкомхоз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без утверждения Думой городского округа программы комплексного  развития систем коммунальной инфраструктуры муниципального образования (ч.1ст.11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),  условия  технического задания не утверждены  главой местной администрации, не имеется расчета финансовых потребностей необходимых для реализации данных мероприятий.  До настоящего времени стоимость канализационных сетей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теплотрассы, водопровода,  линии уличного освещения  к жилым домам по ул. Павлова в реестре муниципального имущества и нефинансовых активах имущества казны не отражены, поскольку отсутствует ввод объектов в эксплуатацию.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бюджетные средства в сумме 2918,0 тыс. рублей были истрачены на финансирование строительства сетей в интересах организаций с частной формой собственности, т.е.  были потрачены не в соответствии с целями формирования и исполнения бюджета муниципального образования.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 в нарушение Положения об оплате труда, ст. 10  Закона Иркутской области от 15.10.2007 № 88-оз «Об отдельных вопросах муниципальной службы в Иркутской области», ст. 4 Закона Иркутской области от 15.10.2007г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п.4 ст.16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Иркутской области от 04.04.2008 № 2-оз «Об отдельных вопросах государственной гражданской службы Иркутской области»,  на основании распоряжений мэра города установлена повышенная надбавка за особые условия муниципальной службы определенным категориям  муниципальных служащих  превышена на 50%, всего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незаконные  выплаты надбавки за  особые условия муниципальной службы составили в сумме 310,4 тыс. руб</w:t>
      </w:r>
      <w:proofErr w:type="gramStart"/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отчет №3-о от 30.04.2013) 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обеспеченность 1-го жителя муниципального образования – «город Тулун» за 2012 год  от полученных совокупных доходов составила 20,3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 на  4,6 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больше, чем в 2011 году.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задолженности бюджета в течение 2012 года снизился 11,2 %,  что  свидетельствует о повышении устойчивости местного бюджета. </w:t>
      </w:r>
    </w:p>
    <w:p w:rsidR="00E3006D" w:rsidRPr="00E3006D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Выводы и рекомендации</w:t>
      </w:r>
    </w:p>
    <w:p w:rsidR="00E3006D" w:rsidRPr="00E3006D" w:rsidRDefault="00E3006D" w:rsidP="00E3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   финансовой экспертизой  бюджетной отчетности об исполнении бюджета за 2012 год, а также анализа обоснованности доходных и расходных  статей  представленного проекта решения,   Контрольно-счетная  палата  отмечает: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контрольного мероприятия  выявлен факт искажения бюджетной отчетности об исполнении  бюджета по доходам администрируемым Управлением по муниципальному  имуществу  и земельным отношениям администрации городского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округа, выразившейся в занижении стоимости имущества казны, таким образом, баланс муниципального образования – «город Тулун» по состоянию на 01 января 2013 года содержит  недостоверные сведения в части финансовых активов  на сумму  464,6 тыс. руб., нефинансовых активов на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586,5тыс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 и соответственно искажение  финансового результата.</w:t>
      </w:r>
    </w:p>
    <w:p w:rsidR="00E3006D" w:rsidRPr="00E3006D" w:rsidRDefault="00E3006D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допущены нарушения применения  бюджетной классификации РФ, утвержденной Приказом  Минфина России от 21.12.2011  № 180-н на  </w:t>
      </w:r>
      <w:r w:rsidRPr="00E3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  9437,0 тыс. руб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E3006D" w:rsidRPr="00E3006D" w:rsidRDefault="00E2488B" w:rsidP="00E3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место 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факты нецелевого, неэффективного незаконного расходования бюджетных средств; 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ебиторская задолженность по доходам занижена  на 465,0 тыс. руб.;</w:t>
      </w:r>
    </w:p>
    <w:p w:rsidR="00E3006D" w:rsidRPr="00E3006D" w:rsidRDefault="00E2488B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екстовая часть  проекта решения подлежит корректировке</w:t>
      </w:r>
      <w:bookmarkStart w:id="0" w:name="_GoBack"/>
      <w:bookmarkEnd w:id="0"/>
      <w:r w:rsidR="00013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06D" w:rsidRPr="00E3006D" w:rsidRDefault="00E3006D" w:rsidP="00E3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006D" w:rsidRPr="00E3006D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8B" w:rsidRDefault="00E3006D" w:rsidP="00E24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основании изложенного Контрольно-счетная палата рекомендует депутатам Думы городского округа:</w:t>
      </w:r>
    </w:p>
    <w:p w:rsidR="00E3006D" w:rsidRPr="00E2488B" w:rsidRDefault="00E2488B" w:rsidP="00E24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E3006D"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направить в Администрацию городского округа, для устранения нарушений, замечаний и недостоверных фактов.</w:t>
      </w:r>
    </w:p>
    <w:p w:rsidR="00E3006D" w:rsidRPr="00E3006D" w:rsidRDefault="00E3006D" w:rsidP="00E3006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006D" w:rsidRDefault="00E3006D" w:rsidP="00E3006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8B" w:rsidRDefault="00E2488B" w:rsidP="00E3006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8B" w:rsidRDefault="00E2488B" w:rsidP="00E3006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8B" w:rsidRDefault="00E2488B" w:rsidP="00E3006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8B" w:rsidRDefault="00E2488B" w:rsidP="00E3006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8B" w:rsidRPr="00E3006D" w:rsidRDefault="00E2488B" w:rsidP="00E3006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3006D" w:rsidRDefault="00E3006D" w:rsidP="00E24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</w:t>
      </w:r>
    </w:p>
    <w:p w:rsidR="00E3006D" w:rsidRPr="00E3006D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</w:t>
      </w:r>
      <w:r w:rsidR="00E2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48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2488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E248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E2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Е.В. </w:t>
      </w:r>
      <w:proofErr w:type="spellStart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Новикевич</w:t>
      </w:r>
      <w:proofErr w:type="spellEnd"/>
      <w:r w:rsidRPr="00E3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712" w:rsidRDefault="00205712"/>
    <w:sectPr w:rsidR="00205712" w:rsidSect="00440D4C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68" w:rsidRDefault="00C77D68">
      <w:pPr>
        <w:spacing w:after="0" w:line="240" w:lineRule="auto"/>
      </w:pPr>
      <w:r>
        <w:separator/>
      </w:r>
    </w:p>
  </w:endnote>
  <w:endnote w:type="continuationSeparator" w:id="0">
    <w:p w:rsidR="00C77D68" w:rsidRDefault="00C7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183716"/>
      <w:docPartObj>
        <w:docPartGallery w:val="Page Numbers (Bottom of Page)"/>
        <w:docPartUnique/>
      </w:docPartObj>
    </w:sdtPr>
    <w:sdtEndPr/>
    <w:sdtContent>
      <w:p w:rsidR="00C958BC" w:rsidRDefault="00C958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2C6">
          <w:rPr>
            <w:noProof/>
          </w:rPr>
          <w:t>11</w:t>
        </w:r>
        <w:r>
          <w:fldChar w:fldCharType="end"/>
        </w:r>
      </w:p>
    </w:sdtContent>
  </w:sdt>
  <w:p w:rsidR="00C958BC" w:rsidRDefault="00C958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68" w:rsidRDefault="00C77D68">
      <w:pPr>
        <w:spacing w:after="0" w:line="240" w:lineRule="auto"/>
      </w:pPr>
      <w:r>
        <w:separator/>
      </w:r>
    </w:p>
  </w:footnote>
  <w:footnote w:type="continuationSeparator" w:id="0">
    <w:p w:rsidR="00C77D68" w:rsidRDefault="00C7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30" w:rsidRDefault="00E3006D" w:rsidP="009B20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D30" w:rsidRDefault="00C77D68" w:rsidP="00440D4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30" w:rsidRDefault="00C77D68" w:rsidP="00440D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1955"/>
    <w:multiLevelType w:val="hybridMultilevel"/>
    <w:tmpl w:val="CD5601E4"/>
    <w:lvl w:ilvl="0" w:tplc="F768F4D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6AC8FE44">
      <w:numFmt w:val="none"/>
      <w:lvlText w:val=""/>
      <w:lvlJc w:val="left"/>
      <w:pPr>
        <w:tabs>
          <w:tab w:val="num" w:pos="360"/>
        </w:tabs>
      </w:pPr>
    </w:lvl>
    <w:lvl w:ilvl="2" w:tplc="44F00EA0">
      <w:numFmt w:val="none"/>
      <w:lvlText w:val=""/>
      <w:lvlJc w:val="left"/>
      <w:pPr>
        <w:tabs>
          <w:tab w:val="num" w:pos="360"/>
        </w:tabs>
      </w:pPr>
    </w:lvl>
    <w:lvl w:ilvl="3" w:tplc="8C2CD73C">
      <w:numFmt w:val="none"/>
      <w:lvlText w:val=""/>
      <w:lvlJc w:val="left"/>
      <w:pPr>
        <w:tabs>
          <w:tab w:val="num" w:pos="360"/>
        </w:tabs>
      </w:pPr>
    </w:lvl>
    <w:lvl w:ilvl="4" w:tplc="92E00F5E">
      <w:numFmt w:val="none"/>
      <w:lvlText w:val=""/>
      <w:lvlJc w:val="left"/>
      <w:pPr>
        <w:tabs>
          <w:tab w:val="num" w:pos="360"/>
        </w:tabs>
      </w:pPr>
    </w:lvl>
    <w:lvl w:ilvl="5" w:tplc="CF625EE6">
      <w:numFmt w:val="none"/>
      <w:lvlText w:val=""/>
      <w:lvlJc w:val="left"/>
      <w:pPr>
        <w:tabs>
          <w:tab w:val="num" w:pos="360"/>
        </w:tabs>
      </w:pPr>
    </w:lvl>
    <w:lvl w:ilvl="6" w:tplc="F85A3B86">
      <w:numFmt w:val="none"/>
      <w:lvlText w:val=""/>
      <w:lvlJc w:val="left"/>
      <w:pPr>
        <w:tabs>
          <w:tab w:val="num" w:pos="360"/>
        </w:tabs>
      </w:pPr>
    </w:lvl>
    <w:lvl w:ilvl="7" w:tplc="DC74CCDE">
      <w:numFmt w:val="none"/>
      <w:lvlText w:val=""/>
      <w:lvlJc w:val="left"/>
      <w:pPr>
        <w:tabs>
          <w:tab w:val="num" w:pos="360"/>
        </w:tabs>
      </w:pPr>
    </w:lvl>
    <w:lvl w:ilvl="8" w:tplc="E45E9E0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B205DC"/>
    <w:multiLevelType w:val="hybridMultilevel"/>
    <w:tmpl w:val="959063FE"/>
    <w:lvl w:ilvl="0" w:tplc="9EB8705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D1"/>
    <w:rsid w:val="0001315E"/>
    <w:rsid w:val="00017403"/>
    <w:rsid w:val="000241A0"/>
    <w:rsid w:val="0002699E"/>
    <w:rsid w:val="000F278B"/>
    <w:rsid w:val="00106258"/>
    <w:rsid w:val="00116711"/>
    <w:rsid w:val="001235D9"/>
    <w:rsid w:val="001A2C98"/>
    <w:rsid w:val="001C67FF"/>
    <w:rsid w:val="00205712"/>
    <w:rsid w:val="002269FF"/>
    <w:rsid w:val="00263558"/>
    <w:rsid w:val="0032278B"/>
    <w:rsid w:val="0033309E"/>
    <w:rsid w:val="003432BD"/>
    <w:rsid w:val="00343F06"/>
    <w:rsid w:val="003C038E"/>
    <w:rsid w:val="003C2028"/>
    <w:rsid w:val="003C33A0"/>
    <w:rsid w:val="003C5BEA"/>
    <w:rsid w:val="003E0298"/>
    <w:rsid w:val="003E67D0"/>
    <w:rsid w:val="003F2FD5"/>
    <w:rsid w:val="00414D7C"/>
    <w:rsid w:val="00422BB1"/>
    <w:rsid w:val="00436D24"/>
    <w:rsid w:val="00454675"/>
    <w:rsid w:val="00463E92"/>
    <w:rsid w:val="00522F61"/>
    <w:rsid w:val="00543FE8"/>
    <w:rsid w:val="005C3EF3"/>
    <w:rsid w:val="005D61C4"/>
    <w:rsid w:val="00605247"/>
    <w:rsid w:val="00624252"/>
    <w:rsid w:val="00654E0D"/>
    <w:rsid w:val="006918C6"/>
    <w:rsid w:val="00692A00"/>
    <w:rsid w:val="006972DD"/>
    <w:rsid w:val="006A026B"/>
    <w:rsid w:val="006A2FCA"/>
    <w:rsid w:val="006B4C01"/>
    <w:rsid w:val="006C0BB3"/>
    <w:rsid w:val="006D2C8F"/>
    <w:rsid w:val="00722101"/>
    <w:rsid w:val="00723EDB"/>
    <w:rsid w:val="007D0CD8"/>
    <w:rsid w:val="008032F7"/>
    <w:rsid w:val="008042FC"/>
    <w:rsid w:val="00812E62"/>
    <w:rsid w:val="00821C58"/>
    <w:rsid w:val="00861264"/>
    <w:rsid w:val="008C50C9"/>
    <w:rsid w:val="00904FA8"/>
    <w:rsid w:val="009261F7"/>
    <w:rsid w:val="00944B01"/>
    <w:rsid w:val="00952D39"/>
    <w:rsid w:val="00960A37"/>
    <w:rsid w:val="00994621"/>
    <w:rsid w:val="009A71FA"/>
    <w:rsid w:val="009B5699"/>
    <w:rsid w:val="00A72B57"/>
    <w:rsid w:val="00AA02BF"/>
    <w:rsid w:val="00B64679"/>
    <w:rsid w:val="00B778E9"/>
    <w:rsid w:val="00BC3620"/>
    <w:rsid w:val="00C01D20"/>
    <w:rsid w:val="00C07742"/>
    <w:rsid w:val="00C5483D"/>
    <w:rsid w:val="00C6114F"/>
    <w:rsid w:val="00C752C6"/>
    <w:rsid w:val="00C77D68"/>
    <w:rsid w:val="00C958BC"/>
    <w:rsid w:val="00CD4BE6"/>
    <w:rsid w:val="00CF643D"/>
    <w:rsid w:val="00D310F5"/>
    <w:rsid w:val="00D506B3"/>
    <w:rsid w:val="00D87A58"/>
    <w:rsid w:val="00D9136A"/>
    <w:rsid w:val="00D9372C"/>
    <w:rsid w:val="00DC30DB"/>
    <w:rsid w:val="00E2488B"/>
    <w:rsid w:val="00E3006D"/>
    <w:rsid w:val="00E629D1"/>
    <w:rsid w:val="00E674B3"/>
    <w:rsid w:val="00EC13A2"/>
    <w:rsid w:val="00F0181F"/>
    <w:rsid w:val="00F50E25"/>
    <w:rsid w:val="00F53B59"/>
    <w:rsid w:val="00F57FD3"/>
    <w:rsid w:val="00F80C7A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0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30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006D"/>
  </w:style>
  <w:style w:type="paragraph" w:styleId="a6">
    <w:name w:val="footer"/>
    <w:basedOn w:val="a"/>
    <w:link w:val="a7"/>
    <w:uiPriority w:val="99"/>
    <w:unhideWhenUsed/>
    <w:rsid w:val="00C9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0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30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006D"/>
  </w:style>
  <w:style w:type="paragraph" w:styleId="a6">
    <w:name w:val="footer"/>
    <w:basedOn w:val="a"/>
    <w:link w:val="a7"/>
    <w:uiPriority w:val="99"/>
    <w:unhideWhenUsed/>
    <w:rsid w:val="00C9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4806</Words>
  <Characters>27399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кент</cp:lastModifiedBy>
  <cp:revision>8</cp:revision>
  <dcterms:created xsi:type="dcterms:W3CDTF">2013-05-27T07:25:00Z</dcterms:created>
  <dcterms:modified xsi:type="dcterms:W3CDTF">2013-05-27T06:02:00Z</dcterms:modified>
</cp:coreProperties>
</file>