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661557" w:rsidP="00D14622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4E78B3">
        <w:rPr>
          <w:b/>
        </w:rPr>
        <w:t>13</w:t>
      </w:r>
      <w:r w:rsidR="008B52B9">
        <w:rPr>
          <w:b/>
        </w:rPr>
        <w:t>-э</w:t>
      </w:r>
    </w:p>
    <w:p w:rsidR="00CC3C66" w:rsidRDefault="004A7078" w:rsidP="004A7078">
      <w:pPr>
        <w:jc w:val="center"/>
        <w:rPr>
          <w:b/>
        </w:rPr>
      </w:pPr>
      <w:r w:rsidRPr="00A57033">
        <w:rPr>
          <w:b/>
        </w:rPr>
        <w:t xml:space="preserve">по результатам </w:t>
      </w:r>
      <w:r w:rsidR="00CC3C66">
        <w:rPr>
          <w:b/>
        </w:rPr>
        <w:t xml:space="preserve">проведения </w:t>
      </w:r>
      <w:r w:rsidRPr="00A57033">
        <w:rPr>
          <w:b/>
        </w:rPr>
        <w:t xml:space="preserve">экспертно-аналитического </w:t>
      </w:r>
      <w:r w:rsidR="00CC3C66">
        <w:rPr>
          <w:b/>
        </w:rPr>
        <w:t xml:space="preserve">мероприятия </w:t>
      </w:r>
    </w:p>
    <w:p w:rsidR="00CC3C66" w:rsidRDefault="00CC3C66" w:rsidP="004A7078">
      <w:pPr>
        <w:jc w:val="center"/>
        <w:rPr>
          <w:b/>
        </w:rPr>
      </w:pPr>
      <w:r>
        <w:rPr>
          <w:b/>
        </w:rPr>
        <w:t xml:space="preserve">на проект  решения Думы городского округа  </w:t>
      </w:r>
    </w:p>
    <w:p w:rsidR="00CC3C66" w:rsidRDefault="00CC3C66" w:rsidP="00CC3C66">
      <w:pPr>
        <w:jc w:val="center"/>
        <w:rPr>
          <w:b/>
        </w:rPr>
      </w:pPr>
      <w:r>
        <w:rPr>
          <w:b/>
        </w:rPr>
        <w:t xml:space="preserve">«Об утверждении отчета об исполнении бюджета </w:t>
      </w:r>
    </w:p>
    <w:p w:rsidR="004A7078" w:rsidRPr="00CC3C66" w:rsidRDefault="00CC3C66" w:rsidP="00CC3C66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4A7078" w:rsidRPr="00A57033">
        <w:rPr>
          <w:b/>
        </w:rPr>
        <w:t>– «город Тулун»</w:t>
      </w:r>
      <w:r>
        <w:rPr>
          <w:b/>
        </w:rPr>
        <w:t xml:space="preserve"> </w:t>
      </w:r>
      <w:r w:rsidR="008E33BF">
        <w:rPr>
          <w:b/>
        </w:rPr>
        <w:t xml:space="preserve">за </w:t>
      </w:r>
      <w:r w:rsidR="004A7078" w:rsidRPr="00A57033">
        <w:rPr>
          <w:b/>
        </w:rPr>
        <w:t>201</w:t>
      </w:r>
      <w:r w:rsidR="00F10810">
        <w:rPr>
          <w:b/>
        </w:rPr>
        <w:t>9</w:t>
      </w:r>
      <w:r>
        <w:rPr>
          <w:b/>
        </w:rPr>
        <w:t xml:space="preserve"> год».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Pr="00A57033" w:rsidRDefault="004A7078" w:rsidP="004A7078">
      <w:pPr>
        <w:jc w:val="center"/>
        <w:rPr>
          <w:b/>
        </w:rPr>
      </w:pPr>
    </w:p>
    <w:p w:rsidR="004A7078" w:rsidRDefault="00956346" w:rsidP="004A7078">
      <w:pPr>
        <w:jc w:val="both"/>
      </w:pPr>
      <w:r>
        <w:t>город</w:t>
      </w:r>
      <w:r w:rsidRPr="00A57033">
        <w:t xml:space="preserve"> Тулун</w:t>
      </w:r>
      <w:r>
        <w:t xml:space="preserve">                                                                                                        </w:t>
      </w:r>
      <w:r w:rsidR="00CA4B5C">
        <w:t>18</w:t>
      </w:r>
      <w:r w:rsidR="004E78B3">
        <w:t xml:space="preserve"> марта</w:t>
      </w:r>
      <w:r w:rsidR="00F10810">
        <w:t xml:space="preserve"> 2021</w:t>
      </w:r>
      <w:r w:rsidR="004A7078" w:rsidRPr="00A57033">
        <w:t xml:space="preserve"> года                                </w:t>
      </w:r>
      <w:r w:rsidR="00B712F5">
        <w:t xml:space="preserve">          </w:t>
      </w:r>
      <w:r w:rsidR="009B2601" w:rsidRPr="009B2601">
        <w:t xml:space="preserve">  </w:t>
      </w:r>
      <w:r w:rsidR="00F10810">
        <w:t xml:space="preserve">                    </w:t>
      </w:r>
      <w:r w:rsidR="009B2601" w:rsidRPr="00CC3C66">
        <w:t xml:space="preserve">                </w:t>
      </w:r>
      <w:r w:rsidR="00B712F5">
        <w:t xml:space="preserve">             </w:t>
      </w:r>
      <w:r w:rsidR="00CC3C66">
        <w:t xml:space="preserve">     </w:t>
      </w:r>
      <w:r>
        <w:t xml:space="preserve"> </w:t>
      </w:r>
    </w:p>
    <w:p w:rsidR="00CC3C66" w:rsidRDefault="00CC3C66" w:rsidP="004A7078">
      <w:pPr>
        <w:jc w:val="both"/>
      </w:pPr>
    </w:p>
    <w:p w:rsidR="00CC3C66" w:rsidRDefault="00CC3C66" w:rsidP="004A7078">
      <w:pPr>
        <w:jc w:val="both"/>
      </w:pPr>
      <w:r>
        <w:tab/>
      </w:r>
      <w:proofErr w:type="gramStart"/>
      <w:r>
        <w:t>Заключение по результатам проведения экспертизы проекта решения Думы городского округа «Об утверждении отчета об исполнении бюджета муниципального обр</w:t>
      </w:r>
      <w:r w:rsidR="00F10810">
        <w:t>азования – «город Тулун» за 2019</w:t>
      </w:r>
      <w:r w:rsidR="00956346">
        <w:t xml:space="preserve"> год» </w:t>
      </w:r>
      <w:r>
        <w:t xml:space="preserve"> подготовлено Контрольно-счетной палатой</w:t>
      </w:r>
      <w:r w:rsidR="00E3729E">
        <w:t xml:space="preserve"> городского округа</w:t>
      </w:r>
      <w:r>
        <w:t xml:space="preserve"> муниципального образования – «город Тулун»</w:t>
      </w:r>
      <w:r w:rsidR="00612618">
        <w:t xml:space="preserve"> </w:t>
      </w:r>
      <w:r>
        <w:t xml:space="preserve">на основании </w:t>
      </w:r>
      <w:r w:rsidR="00EF45B1" w:rsidRPr="00A57033">
        <w:t xml:space="preserve">ст. 268.1 Бюджетного кодекса Российской Федерации, </w:t>
      </w:r>
      <w:r>
        <w:t>пункта 2 части 2 статьи 9 Федерального закона от 07.02.2011 года №</w:t>
      </w:r>
      <w:r w:rsidR="00F10810">
        <w:t xml:space="preserve"> </w:t>
      </w:r>
      <w:r>
        <w:t>6</w:t>
      </w:r>
      <w:r w:rsidR="00EF45B1">
        <w:t xml:space="preserve"> </w:t>
      </w:r>
      <w:r>
        <w:t>- ФЗ «Об общих принципах организации и деятельности контрольно-счетных</w:t>
      </w:r>
      <w:proofErr w:type="gramEnd"/>
      <w:r>
        <w:t xml:space="preserve"> органов субъектов Российской Федерации и муниципальных образований»</w:t>
      </w:r>
      <w:r w:rsidR="00B10FDB">
        <w:t xml:space="preserve">, </w:t>
      </w:r>
      <w:r w:rsidR="00EF45B1">
        <w:t>Положения</w:t>
      </w:r>
      <w:r w:rsidR="00B10FDB" w:rsidRPr="00A57033">
        <w:t xml:space="preserve"> о контрольно-счетной палате городского округа муниципального образования  «город Тулун», утвержденным решением Думы городского округа от 18.12.2013 года № 34-ДГО</w:t>
      </w:r>
      <w:r w:rsidR="00F10810">
        <w:t>,</w:t>
      </w:r>
      <w:r w:rsidR="00F10810" w:rsidRPr="00F10810">
        <w:rPr>
          <w:rFonts w:eastAsia="Calibri"/>
        </w:rPr>
        <w:t xml:space="preserve"> в соответствии с обращением  Думы городского округа от </w:t>
      </w:r>
      <w:r w:rsidR="00DE08DA">
        <w:rPr>
          <w:rFonts w:eastAsia="Calibri"/>
        </w:rPr>
        <w:t>05.03</w:t>
      </w:r>
      <w:r w:rsidR="00F10810" w:rsidRPr="00F10810">
        <w:rPr>
          <w:rFonts w:eastAsia="Calibri"/>
        </w:rPr>
        <w:t>.2021г.</w:t>
      </w:r>
      <w:r w:rsidR="00F10810">
        <w:rPr>
          <w:rFonts w:eastAsia="Calibri"/>
        </w:rPr>
        <w:t xml:space="preserve"> № </w:t>
      </w:r>
      <w:r w:rsidR="00DE08DA">
        <w:rPr>
          <w:rFonts w:eastAsia="Calibri"/>
        </w:rPr>
        <w:t>61</w:t>
      </w:r>
      <w:r w:rsidR="00B10FDB">
        <w:t>.</w:t>
      </w:r>
    </w:p>
    <w:p w:rsidR="008261B1" w:rsidRDefault="00CC3C66" w:rsidP="009470A8">
      <w:pPr>
        <w:ind w:firstLine="708"/>
        <w:jc w:val="both"/>
      </w:pPr>
      <w:proofErr w:type="gramStart"/>
      <w:r>
        <w:t xml:space="preserve">Настоящее заключение на </w:t>
      </w:r>
      <w:r w:rsidR="00DE08DA">
        <w:t xml:space="preserve">проект решения Думы городского округа «Об утверждении отчета об исполнении бюджета муниципального образования – «город Тулун» за 2019 год» </w:t>
      </w:r>
      <w:r>
        <w:t xml:space="preserve"> подготовлено в соответствии с пунктом 4 статьи 264.4 Бюджет</w:t>
      </w:r>
      <w:r w:rsidR="00F10810">
        <w:t xml:space="preserve">ного кодекса РФ, с учетом результатов </w:t>
      </w:r>
      <w:r>
        <w:t xml:space="preserve"> внешней проверки годовой бюджетной отчетности главных ад</w:t>
      </w:r>
      <w:r w:rsidR="009470A8">
        <w:t xml:space="preserve">министраторов бюджетных средств </w:t>
      </w:r>
      <w:r w:rsidR="00F10810">
        <w:t xml:space="preserve">за 2019 год </w:t>
      </w:r>
      <w:r w:rsidR="009470A8">
        <w:t>и годового отчета об исполнении бюджета муниципального образования – «город Тулун»</w:t>
      </w:r>
      <w:r w:rsidR="00F10810">
        <w:t xml:space="preserve"> за 2019 год</w:t>
      </w:r>
      <w:proofErr w:type="gramEnd"/>
      <w:r w:rsidR="009470A8">
        <w:t>,</w:t>
      </w:r>
      <w:r>
        <w:t xml:space="preserve"> отраженных в заключении КСП</w:t>
      </w:r>
      <w:r w:rsidR="00E3729E">
        <w:t xml:space="preserve"> </w:t>
      </w:r>
      <w:proofErr w:type="spellStart"/>
      <w:r w:rsidR="00E3729E">
        <w:t>г</w:t>
      </w:r>
      <w:proofErr w:type="gramStart"/>
      <w:r w:rsidR="00E3729E">
        <w:t>.</w:t>
      </w:r>
      <w:r w:rsidR="00612618">
        <w:t>Т</w:t>
      </w:r>
      <w:proofErr w:type="gramEnd"/>
      <w:r w:rsidR="00612618">
        <w:t>улуна</w:t>
      </w:r>
      <w:proofErr w:type="spellEnd"/>
      <w:r w:rsidR="00F10810">
        <w:t xml:space="preserve"> от 29.01.2021</w:t>
      </w:r>
      <w:r>
        <w:t>г</w:t>
      </w:r>
      <w:r w:rsidR="00F10810">
        <w:t>. № 5</w:t>
      </w:r>
      <w:r w:rsidR="00612618">
        <w:t>-э</w:t>
      </w:r>
      <w:r>
        <w:t xml:space="preserve">. </w:t>
      </w:r>
      <w:r w:rsidR="009470A8">
        <w:t xml:space="preserve"> </w:t>
      </w:r>
      <w:r>
        <w:t xml:space="preserve">В ходе </w:t>
      </w:r>
      <w:proofErr w:type="gramStart"/>
      <w:r w:rsidR="009470A8">
        <w:t xml:space="preserve">проведения </w:t>
      </w:r>
      <w:r w:rsidR="00956346">
        <w:t xml:space="preserve">внешней </w:t>
      </w:r>
      <w:r w:rsidR="009470A8" w:rsidRPr="009470A8">
        <w:t>проверки годовой бюджетной отчетности главных администраторов бюджетных средств</w:t>
      </w:r>
      <w:proofErr w:type="gramEnd"/>
      <w:r w:rsidR="009470A8" w:rsidRPr="009470A8">
        <w:t xml:space="preserve"> и годового отчета об исполнении бюджета муниципального образования – «город Тулун»</w:t>
      </w:r>
      <w:r>
        <w:t xml:space="preserve"> проанализированы документы, составляющие бухгалтерскую отчетность, бюджетную отчетность об исполнении бюджета муниципального обр</w:t>
      </w:r>
      <w:r w:rsidR="00F10810">
        <w:t>азования – «город Тулун» за 2019</w:t>
      </w:r>
      <w:r w:rsidR="005A6C19">
        <w:t xml:space="preserve"> год</w:t>
      </w:r>
      <w:r w:rsidR="00B10FDB">
        <w:t>. В основу настоящего заключения вошли выводы, факты и обоснования, установленные при проведении в</w:t>
      </w:r>
      <w:r w:rsidR="009470A8">
        <w:t xml:space="preserve">нешней проверки </w:t>
      </w:r>
      <w:r w:rsidR="009470A8" w:rsidRPr="009470A8">
        <w:t>годовой бюджетной отчетности главных администраторов бюджетных средств и годового отчета об исполнении бюджета муницип</w:t>
      </w:r>
      <w:r w:rsidR="009470A8">
        <w:t>ального образования – «город Тул</w:t>
      </w:r>
      <w:r w:rsidR="009470A8" w:rsidRPr="009470A8">
        <w:t>ун»</w:t>
      </w:r>
      <w:r w:rsidR="005A6C19">
        <w:t xml:space="preserve"> за 2019 год</w:t>
      </w:r>
      <w:r w:rsidR="009470A8">
        <w:t>.</w:t>
      </w:r>
    </w:p>
    <w:p w:rsidR="00F10810" w:rsidRPr="00D546BB" w:rsidRDefault="00F10810" w:rsidP="00D546BB">
      <w:pPr>
        <w:ind w:firstLine="708"/>
        <w:jc w:val="both"/>
      </w:pPr>
      <w:r>
        <w:t xml:space="preserve">Внешняя проверка годовой бюджетной отчетности главных администраторов бюджетных средств за 2019 год и годового отчета об исполнении бюджета муниципального образования – «город Тулун» за 2019 год проведена в апреле 2020 года. Заключения КСП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по результатам внешней проверки годовой бюджетной отчетности главных администраторов бюджетных средств за 2019 год направлены главным администраторам бюджетных средств по окончании проведения </w:t>
      </w:r>
      <w:r w:rsidR="00D546BB">
        <w:t>внешней проверки годовой бюджетной отчетност</w:t>
      </w:r>
      <w:r w:rsidR="00377B6B">
        <w:t>и.</w:t>
      </w:r>
      <w:r w:rsidR="00D546BB">
        <w:t xml:space="preserve"> </w:t>
      </w:r>
      <w:r w:rsidR="00377B6B">
        <w:t>П</w:t>
      </w:r>
      <w:r w:rsidR="00D546BB">
        <w:t xml:space="preserve">одготовка заключения КСП </w:t>
      </w:r>
      <w:proofErr w:type="spellStart"/>
      <w:r w:rsidR="00D546BB">
        <w:t>г</w:t>
      </w:r>
      <w:proofErr w:type="gramStart"/>
      <w:r w:rsidR="00D546BB">
        <w:t>.Т</w:t>
      </w:r>
      <w:proofErr w:type="gramEnd"/>
      <w:r w:rsidR="00D546BB">
        <w:t>улуна</w:t>
      </w:r>
      <w:proofErr w:type="spellEnd"/>
      <w:r w:rsidR="00D546BB">
        <w:t xml:space="preserve"> по результатам внешней проверки</w:t>
      </w:r>
      <w:r w:rsidR="00D546BB" w:rsidRPr="00D546BB">
        <w:t xml:space="preserve"> </w:t>
      </w:r>
      <w:r w:rsidR="00D546BB">
        <w:t xml:space="preserve">годового отчета об исполнении бюджета муниципального образования – «город Тулун» за 2019 год в соответствии с </w:t>
      </w:r>
      <w:r w:rsidRPr="00287934">
        <w:rPr>
          <w:rFonts w:eastAsia="Calibri"/>
          <w:lang w:eastAsia="en-US"/>
        </w:rPr>
        <w:t>Федеральным законом от 01.04.2020г. № 103-ФЗ «О внесении</w:t>
      </w:r>
      <w:r w:rsidR="00E3729E">
        <w:rPr>
          <w:rFonts w:eastAsia="Calibri"/>
          <w:lang w:eastAsia="en-US"/>
        </w:rPr>
        <w:t xml:space="preserve"> изменений в Федеральный закон «</w:t>
      </w:r>
      <w:r w:rsidRPr="00287934">
        <w:rPr>
          <w:rFonts w:eastAsia="Calibri"/>
          <w:lang w:eastAsia="en-US"/>
        </w:rPr>
        <w:t xml:space="preserve">О приостановлении действия отдельных положений Бюджетного кодекса Российской Федерации и установлении особенностей исполнения </w:t>
      </w:r>
      <w:r w:rsidRPr="00287934">
        <w:rPr>
          <w:rFonts w:eastAsia="Calibri"/>
          <w:lang w:eastAsia="en-US"/>
        </w:rPr>
        <w:lastRenderedPageBreak/>
        <w:t xml:space="preserve">федерального </w:t>
      </w:r>
      <w:r w:rsidR="00D546BB">
        <w:rPr>
          <w:rFonts w:eastAsia="Calibri"/>
          <w:lang w:eastAsia="en-US"/>
        </w:rPr>
        <w:t xml:space="preserve">бюджета в 2020 году» </w:t>
      </w:r>
      <w:r w:rsidR="00377B6B">
        <w:rPr>
          <w:rFonts w:eastAsia="Calibri"/>
          <w:lang w:eastAsia="en-US"/>
        </w:rPr>
        <w:t>(</w:t>
      </w:r>
      <w:r w:rsidR="00377B6B" w:rsidRPr="00287934">
        <w:rPr>
          <w:rFonts w:eastAsia="Calibri"/>
          <w:lang w:eastAsia="en-US"/>
        </w:rPr>
        <w:t xml:space="preserve">действие </w:t>
      </w:r>
      <w:hyperlink r:id="rId9" w:history="1">
        <w:r w:rsidR="00377B6B" w:rsidRPr="00287934">
          <w:rPr>
            <w:rFonts w:eastAsia="Calibri"/>
            <w:b/>
            <w:i/>
            <w:color w:val="000000"/>
            <w:lang w:eastAsia="en-US"/>
          </w:rPr>
          <w:t>пункта 3 статьи 264.4</w:t>
        </w:r>
      </w:hyperlink>
      <w:r w:rsidR="00377B6B" w:rsidRPr="00287934">
        <w:rPr>
          <w:rFonts w:eastAsia="Calibri"/>
          <w:color w:val="000000"/>
          <w:lang w:eastAsia="en-US"/>
        </w:rPr>
        <w:t xml:space="preserve"> </w:t>
      </w:r>
      <w:r w:rsidR="00377B6B" w:rsidRPr="00287934">
        <w:rPr>
          <w:rFonts w:eastAsia="Calibri"/>
          <w:lang w:eastAsia="en-US"/>
        </w:rPr>
        <w:t xml:space="preserve">Бюджетного </w:t>
      </w:r>
      <w:proofErr w:type="gramStart"/>
      <w:r w:rsidR="00377B6B" w:rsidRPr="00287934">
        <w:rPr>
          <w:rFonts w:eastAsia="Calibri"/>
          <w:lang w:eastAsia="en-US"/>
        </w:rPr>
        <w:t xml:space="preserve">кодекса РФ </w:t>
      </w:r>
      <w:r w:rsidR="00377B6B" w:rsidRPr="00287934">
        <w:rPr>
          <w:rFonts w:eastAsia="Calibri"/>
          <w:color w:val="000000"/>
          <w:lang w:eastAsia="en-US"/>
        </w:rPr>
        <w:t>(в части сроков подготовки заключений на годовой отчет об исполнении бюджета</w:t>
      </w:r>
      <w:r w:rsidR="00C71298">
        <w:rPr>
          <w:rFonts w:eastAsia="Calibri"/>
          <w:color w:val="000000"/>
          <w:lang w:eastAsia="en-US"/>
        </w:rPr>
        <w:t>)</w:t>
      </w:r>
      <w:r w:rsidR="00377B6B" w:rsidRPr="00377B6B">
        <w:rPr>
          <w:rFonts w:eastAsia="Calibri"/>
          <w:lang w:eastAsia="en-US"/>
        </w:rPr>
        <w:t xml:space="preserve"> </w:t>
      </w:r>
      <w:r w:rsidR="00377B6B" w:rsidRPr="00287934">
        <w:rPr>
          <w:rFonts w:eastAsia="Calibri"/>
          <w:lang w:eastAsia="en-US"/>
        </w:rPr>
        <w:t xml:space="preserve">приостановить </w:t>
      </w:r>
      <w:r w:rsidR="00377B6B" w:rsidRPr="00287934">
        <w:rPr>
          <w:rFonts w:eastAsia="Calibri"/>
          <w:b/>
          <w:i/>
          <w:lang w:eastAsia="en-US"/>
        </w:rPr>
        <w:t>до 1 января 2021 года</w:t>
      </w:r>
      <w:r w:rsidR="00377B6B" w:rsidRPr="00287934">
        <w:rPr>
          <w:rFonts w:eastAsia="Calibri"/>
          <w:color w:val="000000"/>
          <w:lang w:eastAsia="en-US"/>
        </w:rPr>
        <w:t>)</w:t>
      </w:r>
      <w:r w:rsidR="00377B6B">
        <w:rPr>
          <w:rFonts w:eastAsia="Calibri"/>
          <w:color w:val="000000"/>
          <w:lang w:eastAsia="en-US"/>
        </w:rPr>
        <w:t xml:space="preserve"> </w:t>
      </w:r>
      <w:r w:rsidR="00D546BB">
        <w:t xml:space="preserve">и в соответствии с решением Думы городского округа от 06.05.2020г. № 11-ДГО </w:t>
      </w:r>
      <w:r w:rsidR="00D546BB" w:rsidRPr="00032CEC">
        <w:t>«О приостановлении действий отдельных положений Положения о бюджетном процессе в муниципальном образовании – «город Тулун»</w:t>
      </w:r>
      <w:r w:rsidR="00D546BB">
        <w:t xml:space="preserve"> </w:t>
      </w:r>
      <w:r w:rsidR="00B15F03">
        <w:t xml:space="preserve">была </w:t>
      </w:r>
      <w:r w:rsidR="00D546BB">
        <w:t xml:space="preserve"> </w:t>
      </w:r>
      <w:r w:rsidR="00D546BB">
        <w:rPr>
          <w:rFonts w:eastAsia="Calibri"/>
          <w:lang w:eastAsia="en-US"/>
        </w:rPr>
        <w:t>приостано</w:t>
      </w:r>
      <w:r w:rsidR="00377B6B">
        <w:rPr>
          <w:rFonts w:eastAsia="Calibri"/>
          <w:lang w:eastAsia="en-US"/>
        </w:rPr>
        <w:t>влена</w:t>
      </w:r>
      <w:r w:rsidR="00D546BB">
        <w:rPr>
          <w:rFonts w:eastAsia="Calibri"/>
          <w:lang w:eastAsia="en-US"/>
        </w:rPr>
        <w:t xml:space="preserve"> </w:t>
      </w:r>
      <w:r w:rsidRPr="00287934">
        <w:rPr>
          <w:rFonts w:eastAsia="Calibri"/>
          <w:b/>
          <w:i/>
          <w:lang w:eastAsia="en-US"/>
        </w:rPr>
        <w:t>до 1 января 2021 года</w:t>
      </w:r>
      <w:r w:rsidRPr="00287934">
        <w:rPr>
          <w:rFonts w:eastAsia="Calibri"/>
          <w:lang w:eastAsia="en-US"/>
        </w:rPr>
        <w:t>.</w:t>
      </w:r>
      <w:proofErr w:type="gramEnd"/>
    </w:p>
    <w:p w:rsidR="009470A8" w:rsidRDefault="009470A8" w:rsidP="009470A8">
      <w:pPr>
        <w:ind w:firstLine="708"/>
        <w:jc w:val="both"/>
      </w:pPr>
    </w:p>
    <w:p w:rsidR="005450CB" w:rsidRDefault="008C10AB" w:rsidP="005450CB">
      <w:pPr>
        <w:ind w:left="360"/>
        <w:jc w:val="center"/>
        <w:rPr>
          <w:b/>
        </w:rPr>
      </w:pPr>
      <w:r w:rsidRPr="008C10AB">
        <w:rPr>
          <w:b/>
        </w:rPr>
        <w:t>1.</w:t>
      </w:r>
      <w:r>
        <w:rPr>
          <w:b/>
        </w:rPr>
        <w:t xml:space="preserve"> </w:t>
      </w:r>
      <w:r w:rsidR="008261B1" w:rsidRPr="008C10AB">
        <w:rPr>
          <w:b/>
        </w:rPr>
        <w:t xml:space="preserve">Соблюдение порядка внесения годового отчета об исполнении бюджета </w:t>
      </w:r>
      <w:r w:rsidR="005450CB">
        <w:rPr>
          <w:b/>
        </w:rPr>
        <w:t>муниципального образования – «город Тулун</w:t>
      </w:r>
      <w:r w:rsidR="005450CB" w:rsidRPr="008C10AB">
        <w:rPr>
          <w:b/>
        </w:rPr>
        <w:t>»</w:t>
      </w:r>
      <w:r w:rsidR="005450CB">
        <w:rPr>
          <w:b/>
        </w:rPr>
        <w:t xml:space="preserve"> за 2019 год» </w:t>
      </w:r>
    </w:p>
    <w:p w:rsidR="008261B1" w:rsidRPr="008C10AB" w:rsidRDefault="008261B1" w:rsidP="005450CB">
      <w:pPr>
        <w:ind w:left="360"/>
        <w:jc w:val="center"/>
        <w:rPr>
          <w:b/>
        </w:rPr>
      </w:pPr>
      <w:r w:rsidRPr="008C10AB">
        <w:rPr>
          <w:b/>
        </w:rPr>
        <w:t>в представительный орган</w:t>
      </w:r>
    </w:p>
    <w:p w:rsidR="008261B1" w:rsidRDefault="008261B1" w:rsidP="008261B1">
      <w:pPr>
        <w:jc w:val="center"/>
      </w:pPr>
    </w:p>
    <w:p w:rsidR="008261B1" w:rsidRDefault="008261B1" w:rsidP="009470A8">
      <w:pPr>
        <w:ind w:firstLine="360"/>
        <w:jc w:val="both"/>
      </w:pPr>
      <w:r>
        <w:t>Статья 264.5 Бюджетного Кодекса Российской Федерации регулирует вопросы представления, рассмотрения и утверждения годового отчета об исполнении бюджета законодательным (представительным) органом.</w:t>
      </w:r>
    </w:p>
    <w:p w:rsidR="00D56131" w:rsidRPr="00E44199" w:rsidRDefault="00377B6B" w:rsidP="00E4419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proofErr w:type="gramStart"/>
      <w:r w:rsidR="00C71298">
        <w:rPr>
          <w:rFonts w:eastAsia="Calibri"/>
          <w:lang w:eastAsia="en-US"/>
        </w:rPr>
        <w:t xml:space="preserve">Внесение </w:t>
      </w:r>
      <w:r w:rsidR="00C71298">
        <w:t>годового отчета об исполнении бюджета вносится в законодате</w:t>
      </w:r>
      <w:r w:rsidR="0006020F">
        <w:t xml:space="preserve">льный (представительный) орган </w:t>
      </w:r>
      <w:r w:rsidR="00C71298">
        <w:t xml:space="preserve"> </w:t>
      </w:r>
      <w:r w:rsidR="0006020F">
        <w:t>(</w:t>
      </w:r>
      <w:r w:rsidR="00C71298">
        <w:t>установленный срок до 1 мая</w:t>
      </w:r>
      <w:r w:rsidR="0006020F">
        <w:t xml:space="preserve">) </w:t>
      </w:r>
      <w:r w:rsidR="00C71298" w:rsidRPr="00287934">
        <w:rPr>
          <w:rFonts w:eastAsia="Calibri"/>
          <w:lang w:eastAsia="en-US"/>
        </w:rPr>
        <w:t xml:space="preserve"> </w:t>
      </w:r>
      <w:r w:rsidR="00C71298">
        <w:rPr>
          <w:rFonts w:eastAsia="Calibri"/>
          <w:lang w:eastAsia="en-US"/>
        </w:rPr>
        <w:t>приостановлено</w:t>
      </w:r>
      <w:r w:rsidR="00C71298" w:rsidRPr="00287934">
        <w:rPr>
          <w:rFonts w:eastAsia="Calibri"/>
          <w:lang w:eastAsia="en-US"/>
        </w:rPr>
        <w:t xml:space="preserve"> </w:t>
      </w:r>
      <w:r w:rsidR="00C71298" w:rsidRPr="00287934">
        <w:rPr>
          <w:rFonts w:eastAsia="Calibri"/>
          <w:b/>
          <w:i/>
          <w:lang w:eastAsia="en-US"/>
        </w:rPr>
        <w:t>до 1 января 2021 года</w:t>
      </w:r>
      <w:r w:rsidR="00C71298" w:rsidRPr="00287934">
        <w:rPr>
          <w:rFonts w:eastAsia="Calibri"/>
          <w:lang w:eastAsia="en-US"/>
        </w:rPr>
        <w:t xml:space="preserve"> </w:t>
      </w:r>
      <w:r w:rsidR="00C71298">
        <w:rPr>
          <w:rFonts w:eastAsia="Calibri"/>
          <w:lang w:eastAsia="en-US"/>
        </w:rPr>
        <w:t xml:space="preserve">в соответствии с </w:t>
      </w:r>
      <w:r w:rsidR="00D56131" w:rsidRPr="00287934">
        <w:rPr>
          <w:rFonts w:eastAsia="Calibri"/>
          <w:lang w:eastAsia="en-US"/>
        </w:rPr>
        <w:t>Федеральным законом от 01.04.2020г. № 103-ФЗ «О внесении</w:t>
      </w:r>
      <w:r w:rsidR="00E44199">
        <w:rPr>
          <w:rFonts w:eastAsia="Calibri"/>
          <w:lang w:eastAsia="en-US"/>
        </w:rPr>
        <w:t xml:space="preserve"> изменений в Федеральный закон «</w:t>
      </w:r>
      <w:r w:rsidR="00D56131" w:rsidRPr="00287934">
        <w:rPr>
          <w:rFonts w:eastAsia="Calibri"/>
          <w:lang w:eastAsia="en-US"/>
        </w:rPr>
        <w:t xml:space="preserve">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</w:t>
      </w:r>
      <w:r w:rsidR="007E140A">
        <w:rPr>
          <w:rFonts w:eastAsia="Calibri"/>
          <w:lang w:eastAsia="en-US"/>
        </w:rPr>
        <w:t xml:space="preserve"> </w:t>
      </w:r>
      <w:r w:rsidR="00C71298">
        <w:rPr>
          <w:rFonts w:eastAsia="Calibri"/>
          <w:lang w:eastAsia="en-US"/>
        </w:rPr>
        <w:t xml:space="preserve">(действие </w:t>
      </w:r>
      <w:hyperlink r:id="rId10" w:history="1">
        <w:r w:rsidR="00D56131" w:rsidRPr="003A2AE2">
          <w:rPr>
            <w:rFonts w:eastAsia="Calibri"/>
            <w:color w:val="000000"/>
            <w:lang w:eastAsia="en-US"/>
          </w:rPr>
          <w:t>пункта 4 статьи 264.5</w:t>
        </w:r>
        <w:proofErr w:type="gramEnd"/>
      </w:hyperlink>
      <w:r w:rsidR="00D56131" w:rsidRPr="003A2AE2">
        <w:rPr>
          <w:rFonts w:eastAsia="Calibri"/>
          <w:lang w:eastAsia="en-US"/>
        </w:rPr>
        <w:t xml:space="preserve"> </w:t>
      </w:r>
      <w:proofErr w:type="gramStart"/>
      <w:r w:rsidR="00D56131" w:rsidRPr="003A2AE2">
        <w:rPr>
          <w:rFonts w:eastAsia="Calibri"/>
          <w:lang w:eastAsia="en-US"/>
        </w:rPr>
        <w:t>Бюджетного кодекса РФ (в части сроков)</w:t>
      </w:r>
      <w:r w:rsidR="0006020F" w:rsidRPr="003A2AE2">
        <w:rPr>
          <w:rFonts w:eastAsia="Calibri"/>
          <w:lang w:eastAsia="en-US"/>
        </w:rPr>
        <w:t xml:space="preserve"> приостановить до 1 января 2021 года</w:t>
      </w:r>
      <w:r w:rsidR="0006020F" w:rsidRPr="003A2AE2">
        <w:rPr>
          <w:rFonts w:eastAsia="Calibri"/>
          <w:color w:val="000000"/>
          <w:lang w:eastAsia="en-US"/>
        </w:rPr>
        <w:t>)</w:t>
      </w:r>
      <w:r w:rsidR="00D56131" w:rsidRPr="003A2AE2">
        <w:rPr>
          <w:rFonts w:eastAsia="Calibri"/>
          <w:lang w:eastAsia="en-US"/>
        </w:rPr>
        <w:t>.</w:t>
      </w:r>
      <w:proofErr w:type="gramEnd"/>
    </w:p>
    <w:p w:rsidR="00C71298" w:rsidRPr="003A2AE2" w:rsidRDefault="003A2AE2" w:rsidP="003A2AE2">
      <w:pPr>
        <w:jc w:val="both"/>
      </w:pPr>
      <w:r>
        <w:t xml:space="preserve">      </w:t>
      </w:r>
      <w:proofErr w:type="gramStart"/>
      <w:r w:rsidR="008261B1">
        <w:t xml:space="preserve">Бюджетный кодекс Российской Федерации предусматривает, что </w:t>
      </w:r>
      <w:r>
        <w:t>о</w:t>
      </w:r>
      <w:r w:rsidR="00C71298">
        <w:rPr>
          <w:rFonts w:eastAsia="Calibri"/>
        </w:rPr>
        <w:t>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</w:t>
      </w:r>
      <w:proofErr w:type="gramEnd"/>
      <w:r w:rsidR="00C71298">
        <w:rPr>
          <w:rFonts w:eastAsia="Calibri"/>
        </w:rPr>
        <w:t>, иные документы, предусмотренные бюджетным законодательством Российской Федерации.</w:t>
      </w:r>
    </w:p>
    <w:p w:rsidR="00E47A8D" w:rsidRDefault="00E47A8D" w:rsidP="009470A8">
      <w:pPr>
        <w:ind w:firstLine="360"/>
        <w:jc w:val="both"/>
      </w:pPr>
      <w:r>
        <w:t>Проект решения Думы города «Об утверждении отчета об исполнении бюджета муниципального обр</w:t>
      </w:r>
      <w:r w:rsidR="00D56131">
        <w:t>азования – «город Тулун» за 2019</w:t>
      </w:r>
      <w:r>
        <w:t xml:space="preserve"> год» и предусмотренный перечень форм годовой бюджетной отчетности внесен администрацией городского округа в предста</w:t>
      </w:r>
      <w:r w:rsidR="003A2AE2">
        <w:t xml:space="preserve">вительный орган </w:t>
      </w:r>
      <w:r w:rsidR="004734B1">
        <w:t xml:space="preserve"> - </w:t>
      </w:r>
      <w:r w:rsidR="00C80482">
        <w:t xml:space="preserve"> 04</w:t>
      </w:r>
      <w:r w:rsidR="005A6C19">
        <w:t xml:space="preserve"> марта </w:t>
      </w:r>
      <w:r w:rsidR="007142DE">
        <w:t>2021</w:t>
      </w:r>
      <w:r w:rsidR="005A6C19">
        <w:t xml:space="preserve"> года.</w:t>
      </w:r>
    </w:p>
    <w:p w:rsidR="008C10AB" w:rsidRDefault="008C10AB" w:rsidP="00612618">
      <w:pPr>
        <w:jc w:val="both"/>
      </w:pPr>
    </w:p>
    <w:p w:rsidR="008C10AB" w:rsidRPr="008C10AB" w:rsidRDefault="008C10AB" w:rsidP="008C10AB">
      <w:pPr>
        <w:ind w:left="360"/>
        <w:jc w:val="center"/>
        <w:rPr>
          <w:b/>
        </w:rPr>
      </w:pPr>
      <w:r>
        <w:rPr>
          <w:b/>
        </w:rPr>
        <w:t xml:space="preserve">2. </w:t>
      </w:r>
      <w:r w:rsidRPr="008C10AB">
        <w:rPr>
          <w:b/>
        </w:rPr>
        <w:t>Правовая экспертиза проекта решения Думы городского округа «Об утверждении годового отчета об исполнении бюджета</w:t>
      </w:r>
      <w:r w:rsidR="001B2998">
        <w:rPr>
          <w:b/>
        </w:rPr>
        <w:t xml:space="preserve"> муниципального образования – «город Тулун</w:t>
      </w:r>
      <w:r w:rsidRPr="008C10AB">
        <w:rPr>
          <w:b/>
        </w:rPr>
        <w:t>»</w:t>
      </w:r>
      <w:r w:rsidR="003A2AE2">
        <w:rPr>
          <w:b/>
        </w:rPr>
        <w:t xml:space="preserve"> за 2019</w:t>
      </w:r>
      <w:r w:rsidR="001B2998">
        <w:rPr>
          <w:b/>
        </w:rPr>
        <w:t xml:space="preserve"> год»</w:t>
      </w:r>
    </w:p>
    <w:p w:rsidR="008C10AB" w:rsidRDefault="008C10AB" w:rsidP="008C10AB">
      <w:pPr>
        <w:pStyle w:val="a3"/>
        <w:rPr>
          <w:b/>
        </w:rPr>
      </w:pPr>
    </w:p>
    <w:p w:rsidR="008C10AB" w:rsidRDefault="008C10AB" w:rsidP="009470A8">
      <w:pPr>
        <w:ind w:firstLine="284"/>
        <w:jc w:val="both"/>
      </w:pPr>
      <w:r w:rsidRPr="008C10AB">
        <w:t xml:space="preserve">Статьей </w:t>
      </w:r>
      <w:r>
        <w:t xml:space="preserve"> 264.6 Бюджетного Кодекса Российской Федерации предусмотрено утверждение отчета об исполнении бюджета за отчетный финансовый год с указанием общего объема доходов, расходов и дефицита (профицита) бюджета. Отдельными положениями к решению об исполнении бюджета за отчетный финансовый год утверждаются показатели:</w:t>
      </w:r>
    </w:p>
    <w:p w:rsidR="008C10AB" w:rsidRDefault="008C10AB" w:rsidP="009470A8">
      <w:pPr>
        <w:ind w:firstLine="284"/>
        <w:jc w:val="both"/>
      </w:pPr>
      <w:r>
        <w:t>- доходов бюджета по кодам классификации доходов бюджетов;</w:t>
      </w:r>
    </w:p>
    <w:p w:rsidR="008C10AB" w:rsidRDefault="008C10AB" w:rsidP="009470A8">
      <w:pPr>
        <w:pStyle w:val="a3"/>
        <w:ind w:left="284"/>
        <w:jc w:val="both"/>
      </w:pPr>
      <w:r>
        <w:t>- расходов бюджета по ведомственной структуре расходов соответствующего бюджета;</w:t>
      </w:r>
    </w:p>
    <w:p w:rsidR="008C10AB" w:rsidRDefault="008C10AB" w:rsidP="009470A8">
      <w:pPr>
        <w:ind w:firstLine="284"/>
        <w:jc w:val="both"/>
      </w:pPr>
      <w:r>
        <w:t>- расходов бюджета по разделам и подразделам классификации расходов бюджетов;</w:t>
      </w:r>
    </w:p>
    <w:p w:rsidR="008C10AB" w:rsidRDefault="008C10AB" w:rsidP="009470A8">
      <w:pPr>
        <w:pStyle w:val="a3"/>
        <w:ind w:left="284"/>
        <w:jc w:val="both"/>
      </w:pPr>
      <w:r>
        <w:t xml:space="preserve">-источников финансирования дефицита бюджета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>.</w:t>
      </w:r>
    </w:p>
    <w:p w:rsidR="00FF53BE" w:rsidRDefault="00FF53BE" w:rsidP="00FF53BE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FF53BE" w:rsidRDefault="00FF53BE" w:rsidP="009470A8">
      <w:pPr>
        <w:pStyle w:val="a3"/>
        <w:ind w:left="284"/>
        <w:jc w:val="both"/>
      </w:pPr>
    </w:p>
    <w:p w:rsidR="00FF53BE" w:rsidRDefault="008A4935" w:rsidP="00FF53BE">
      <w:pPr>
        <w:ind w:firstLine="284"/>
        <w:jc w:val="both"/>
      </w:pPr>
      <w:r>
        <w:lastRenderedPageBreak/>
        <w:t>Решением Думы городского округа от 13.05.2013г №</w:t>
      </w:r>
      <w:r w:rsidR="00FF53BE">
        <w:t xml:space="preserve"> </w:t>
      </w:r>
      <w:r>
        <w:t>06-ДГО «Об утверждении положения о бюджетном процессе в муниципальном образовании – «город Тулун»</w:t>
      </w:r>
      <w:r w:rsidR="001B2998">
        <w:t xml:space="preserve"> (далее – Положение о бюджетном процессе)</w:t>
      </w:r>
      <w:r>
        <w:t xml:space="preserve"> у</w:t>
      </w:r>
      <w:r w:rsidR="001B2998">
        <w:t>твержден</w:t>
      </w:r>
      <w:r w:rsidR="00FF53BE">
        <w:t>ы отдельные</w:t>
      </w:r>
      <w:r w:rsidR="00C168A0">
        <w:t xml:space="preserve"> приложение к решению об исполнении местного бюджета</w:t>
      </w:r>
      <w:r w:rsidR="00FF53BE">
        <w:t>:</w:t>
      </w:r>
      <w:r w:rsidR="00C168A0">
        <w:t xml:space="preserve"> </w:t>
      </w:r>
    </w:p>
    <w:p w:rsidR="00FF53BE" w:rsidRPr="00FF53BE" w:rsidRDefault="00FF53BE" w:rsidP="00FF53BE">
      <w:pPr>
        <w:jc w:val="both"/>
      </w:pPr>
      <w:r>
        <w:t xml:space="preserve">    </w:t>
      </w:r>
      <w:r w:rsidRPr="00FF53BE">
        <w:t>- расходов местного бюджета по муниципальным программам и непрограммным направлениям деятельности;</w:t>
      </w:r>
    </w:p>
    <w:p w:rsidR="00FF53BE" w:rsidRPr="00FF53BE" w:rsidRDefault="00FF53BE" w:rsidP="00FF53BE">
      <w:pPr>
        <w:autoSpaceDE w:val="0"/>
        <w:autoSpaceDN w:val="0"/>
        <w:adjustRightInd w:val="0"/>
        <w:jc w:val="both"/>
      </w:pPr>
      <w:r>
        <w:t xml:space="preserve">   </w:t>
      </w:r>
      <w:r w:rsidRPr="00FF53BE">
        <w:t xml:space="preserve"> - отчет об использовании ассигнований резервного фонда;</w:t>
      </w:r>
    </w:p>
    <w:p w:rsidR="00FF53BE" w:rsidRDefault="00FF53BE" w:rsidP="00FF53BE">
      <w:pPr>
        <w:autoSpaceDE w:val="0"/>
        <w:autoSpaceDN w:val="0"/>
        <w:adjustRightInd w:val="0"/>
        <w:jc w:val="both"/>
      </w:pPr>
      <w:r>
        <w:t xml:space="preserve">    </w:t>
      </w:r>
      <w:r w:rsidRPr="00FF53BE">
        <w:t>- отчет об использовании бюджетных ассигнований дорожного фонда.</w:t>
      </w:r>
    </w:p>
    <w:p w:rsidR="004C2F70" w:rsidRPr="00FF53BE" w:rsidRDefault="004C2F70" w:rsidP="00FF53BE">
      <w:pPr>
        <w:autoSpaceDE w:val="0"/>
        <w:autoSpaceDN w:val="0"/>
        <w:adjustRightInd w:val="0"/>
        <w:jc w:val="both"/>
      </w:pPr>
    </w:p>
    <w:p w:rsidR="001E5E8F" w:rsidRDefault="001E5E8F" w:rsidP="00C168A0">
      <w:pPr>
        <w:jc w:val="both"/>
      </w:pPr>
    </w:p>
    <w:p w:rsidR="00C27463" w:rsidRDefault="001E5E8F" w:rsidP="001E5E8F">
      <w:pPr>
        <w:pStyle w:val="a3"/>
        <w:ind w:left="284" w:firstLine="436"/>
        <w:jc w:val="center"/>
        <w:rPr>
          <w:b/>
        </w:rPr>
      </w:pPr>
      <w:r w:rsidRPr="001E5E8F">
        <w:rPr>
          <w:b/>
        </w:rPr>
        <w:t xml:space="preserve">3. Результаты внешней проверки годовой бюджетной </w:t>
      </w:r>
      <w:r w:rsidRPr="00C27463">
        <w:rPr>
          <w:b/>
        </w:rPr>
        <w:t xml:space="preserve">отчетности </w:t>
      </w:r>
    </w:p>
    <w:p w:rsidR="00C27463" w:rsidRDefault="00C27463" w:rsidP="001E5E8F">
      <w:pPr>
        <w:pStyle w:val="a3"/>
        <w:ind w:left="284" w:firstLine="436"/>
        <w:jc w:val="center"/>
        <w:rPr>
          <w:b/>
          <w:bCs/>
          <w:iCs/>
          <w:lang w:eastAsia="en-US"/>
        </w:rPr>
      </w:pPr>
      <w:r w:rsidRPr="00C27463">
        <w:rPr>
          <w:b/>
          <w:bCs/>
          <w:iCs/>
          <w:color w:val="000000"/>
          <w:lang w:eastAsia="en-US"/>
        </w:rPr>
        <w:t>главных администраторов</w:t>
      </w:r>
      <w:r w:rsidRPr="00C27463">
        <w:rPr>
          <w:b/>
          <w:bCs/>
          <w:iCs/>
          <w:lang w:eastAsia="en-US"/>
        </w:rPr>
        <w:t xml:space="preserve"> бюджетных средств </w:t>
      </w:r>
      <w:r w:rsidR="007142DE" w:rsidRPr="00C27463">
        <w:rPr>
          <w:b/>
          <w:bCs/>
          <w:iCs/>
          <w:lang w:eastAsia="en-US"/>
        </w:rPr>
        <w:t>2019 год</w:t>
      </w:r>
      <w:r w:rsidR="007142DE" w:rsidRPr="00C27463">
        <w:rPr>
          <w:b/>
        </w:rPr>
        <w:t xml:space="preserve"> </w:t>
      </w:r>
      <w:r w:rsidRPr="00C27463">
        <w:rPr>
          <w:b/>
        </w:rPr>
        <w:t xml:space="preserve">и </w:t>
      </w:r>
      <w:r w:rsidRPr="00C27463">
        <w:rPr>
          <w:b/>
          <w:bCs/>
          <w:iCs/>
          <w:lang w:eastAsia="en-US"/>
        </w:rPr>
        <w:t>годового отчета</w:t>
      </w:r>
    </w:p>
    <w:p w:rsidR="001E5E8F" w:rsidRDefault="00C27463" w:rsidP="00C27463">
      <w:pPr>
        <w:pStyle w:val="a3"/>
        <w:ind w:left="284" w:firstLine="436"/>
        <w:jc w:val="center"/>
        <w:rPr>
          <w:b/>
          <w:bCs/>
          <w:iCs/>
          <w:lang w:eastAsia="en-US"/>
        </w:rPr>
      </w:pPr>
      <w:r w:rsidRPr="00C27463">
        <w:rPr>
          <w:b/>
          <w:bCs/>
          <w:iCs/>
          <w:lang w:eastAsia="en-US"/>
        </w:rPr>
        <w:t xml:space="preserve"> об исполнении местного бюджета за 2019 год</w:t>
      </w:r>
    </w:p>
    <w:p w:rsidR="00D66274" w:rsidRPr="004C2F70" w:rsidRDefault="00D66274" w:rsidP="004C2F70">
      <w:pPr>
        <w:rPr>
          <w:b/>
          <w:bCs/>
          <w:iCs/>
          <w:lang w:eastAsia="en-US"/>
        </w:rPr>
      </w:pPr>
    </w:p>
    <w:p w:rsidR="00D66274" w:rsidRPr="00D66274" w:rsidRDefault="0045188E" w:rsidP="00D66274">
      <w:pPr>
        <w:jc w:val="both"/>
        <w:rPr>
          <w:bCs/>
          <w:color w:val="000000"/>
          <w:shd w:val="clear" w:color="auto" w:fill="FFFFFF"/>
        </w:rPr>
      </w:pPr>
      <w:r>
        <w:t xml:space="preserve">             </w:t>
      </w:r>
      <w:proofErr w:type="gramStart"/>
      <w:r w:rsidR="00D66274" w:rsidRPr="00D66274">
        <w:t>Годовая бюджетная отчетность главными  администраторами бюджетных средств муниципального образования – «город Тулун»</w:t>
      </w:r>
      <w:r w:rsidR="00D66274" w:rsidRPr="00D66274">
        <w:rPr>
          <w:bCs/>
          <w:color w:val="000000"/>
          <w:shd w:val="clear" w:color="auto" w:fill="FFFFFF"/>
        </w:rPr>
        <w:t xml:space="preserve"> и годовой </w:t>
      </w:r>
      <w:r w:rsidR="00D66274" w:rsidRPr="00D66274">
        <w:t xml:space="preserve">отчет об исполнении бюджета муниципального образования – «город Тулун» составляется и предоставляется в порядке, установленном инструкцией, утвержденной приказом </w:t>
      </w:r>
      <w:r w:rsidR="00D66274" w:rsidRPr="00D66274">
        <w:rPr>
          <w:bCs/>
          <w:color w:val="22272F"/>
          <w:shd w:val="clear" w:color="auto" w:fill="FFFFFF"/>
        </w:rPr>
        <w:t>Минфина РФ от 28 декабря 2010 г. </w:t>
      </w:r>
      <w:r w:rsidR="00D66274" w:rsidRPr="00D66274">
        <w:rPr>
          <w:bCs/>
          <w:color w:val="000000"/>
          <w:shd w:val="clear" w:color="auto" w:fill="FFFFFF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</w:t>
      </w:r>
      <w:proofErr w:type="gramEnd"/>
      <w:r w:rsidR="00D66274" w:rsidRPr="00D66274">
        <w:rPr>
          <w:bCs/>
          <w:color w:val="000000"/>
          <w:shd w:val="clear" w:color="auto" w:fill="FFFFFF"/>
        </w:rPr>
        <w:t xml:space="preserve"> -№ </w:t>
      </w:r>
      <w:proofErr w:type="gramStart"/>
      <w:r w:rsidR="00D66274" w:rsidRPr="00D66274">
        <w:rPr>
          <w:bCs/>
          <w:color w:val="000000"/>
          <w:shd w:val="clear" w:color="auto" w:fill="FFFFFF"/>
        </w:rPr>
        <w:t>191н).</w:t>
      </w:r>
      <w:proofErr w:type="gramEnd"/>
    </w:p>
    <w:p w:rsidR="00D66274" w:rsidRPr="00D66274" w:rsidRDefault="00D66274" w:rsidP="00D66274">
      <w:pPr>
        <w:ind w:hanging="1080"/>
        <w:jc w:val="both"/>
      </w:pPr>
      <w:r w:rsidRPr="00D66274">
        <w:rPr>
          <w:bCs/>
          <w:color w:val="000000"/>
          <w:shd w:val="clear" w:color="auto" w:fill="FFFFFF"/>
        </w:rPr>
        <w:t xml:space="preserve">             </w:t>
      </w:r>
      <w:r w:rsidRPr="00D66274">
        <w:rPr>
          <w:bCs/>
          <w:color w:val="000000"/>
          <w:shd w:val="clear" w:color="auto" w:fill="FFFFFF"/>
        </w:rPr>
        <w:tab/>
        <w:t xml:space="preserve">Годовой </w:t>
      </w:r>
      <w:r w:rsidRPr="00D66274">
        <w:t>отчет об исполнении бюджета муниципального образования – «город Тулун» за  2019 год сформирован на основании представленной годовой бюджетной отчетности главными  администраторами бюджетных средств муниципального образования – «город Тулун».</w:t>
      </w:r>
    </w:p>
    <w:p w:rsidR="007142DE" w:rsidRPr="00C27463" w:rsidRDefault="007142DE" w:rsidP="00C27463">
      <w:pPr>
        <w:pStyle w:val="a3"/>
        <w:ind w:left="284" w:firstLine="436"/>
        <w:jc w:val="center"/>
        <w:rPr>
          <w:b/>
          <w:bCs/>
          <w:iCs/>
          <w:lang w:eastAsia="en-US"/>
        </w:rPr>
      </w:pPr>
    </w:p>
    <w:p w:rsidR="00612618" w:rsidRDefault="007142DE" w:rsidP="007142DE">
      <w:pPr>
        <w:rPr>
          <w:b/>
          <w:bCs/>
          <w:i/>
          <w:iCs/>
          <w:lang w:eastAsia="en-US"/>
        </w:rPr>
      </w:pPr>
      <w:r w:rsidRPr="007142DE">
        <w:rPr>
          <w:b/>
          <w:i/>
        </w:rPr>
        <w:t xml:space="preserve">3.1 Внешняя проверка годовой бюджетной отчетности </w:t>
      </w:r>
      <w:r w:rsidRPr="007142DE">
        <w:rPr>
          <w:b/>
          <w:bCs/>
          <w:i/>
          <w:iCs/>
          <w:color w:val="000000"/>
          <w:lang w:eastAsia="en-US"/>
        </w:rPr>
        <w:t>главных администраторов</w:t>
      </w:r>
      <w:r w:rsidRPr="007142DE">
        <w:rPr>
          <w:b/>
          <w:bCs/>
          <w:i/>
          <w:iCs/>
          <w:lang w:eastAsia="en-US"/>
        </w:rPr>
        <w:t xml:space="preserve"> бюджетных средств</w:t>
      </w:r>
      <w:r>
        <w:rPr>
          <w:b/>
          <w:bCs/>
          <w:i/>
          <w:iCs/>
          <w:lang w:eastAsia="en-US"/>
        </w:rPr>
        <w:t xml:space="preserve"> за 2019 год</w:t>
      </w:r>
    </w:p>
    <w:p w:rsidR="00FF1B9C" w:rsidRDefault="00FF1B9C" w:rsidP="007142DE">
      <w:pPr>
        <w:rPr>
          <w:b/>
          <w:bCs/>
          <w:i/>
          <w:iCs/>
          <w:lang w:eastAsia="en-US"/>
        </w:rPr>
      </w:pPr>
    </w:p>
    <w:p w:rsidR="00D66274" w:rsidRPr="00D66274" w:rsidRDefault="00FF1B9C" w:rsidP="00D66274">
      <w:pPr>
        <w:ind w:firstLine="708"/>
        <w:jc w:val="both"/>
      </w:pPr>
      <w:r w:rsidRPr="00134084">
        <w:t>В соответствии с требованиями ст.264.4 Бюджетного кодекса РФ</w:t>
      </w:r>
      <w:r w:rsidRPr="00134084">
        <w:rPr>
          <w:bCs/>
          <w:iCs/>
          <w:color w:val="000000"/>
          <w:lang w:eastAsia="en-US"/>
        </w:rPr>
        <w:t xml:space="preserve"> проведена внешняя проверка бюджетной отчетности главных администраторов</w:t>
      </w:r>
      <w:r w:rsidRPr="00134084">
        <w:rPr>
          <w:bCs/>
          <w:iCs/>
          <w:lang w:eastAsia="en-US"/>
        </w:rPr>
        <w:t xml:space="preserve"> бюджетных средств.</w:t>
      </w:r>
      <w:r w:rsidRPr="00134084">
        <w:t xml:space="preserve"> </w:t>
      </w:r>
      <w:r w:rsidR="00D66274" w:rsidRPr="00D66274">
        <w:t xml:space="preserve">Годовая бюджетная отчетность главных администраторов бюджетных средств за 2019 год в целом по своему составу, содержанию соответствует требованиям пункта 11.1 Инструкции № 191н. Годовая бюджетная отчетность представлена в полном объеме форм. </w:t>
      </w:r>
    </w:p>
    <w:p w:rsidR="00D66274" w:rsidRDefault="00D66274" w:rsidP="00FF1B9C">
      <w:pPr>
        <w:shd w:val="clear" w:color="auto" w:fill="FFFFFF"/>
        <w:jc w:val="both"/>
      </w:pPr>
    </w:p>
    <w:p w:rsidR="00FF1B9C" w:rsidRPr="00134084" w:rsidRDefault="00FF1B9C" w:rsidP="00FF1B9C">
      <w:pPr>
        <w:shd w:val="clear" w:color="auto" w:fill="FFFFFF"/>
        <w:jc w:val="both"/>
        <w:rPr>
          <w:bCs/>
          <w:color w:val="000000"/>
          <w:shd w:val="clear" w:color="auto" w:fill="FFFFFF"/>
        </w:rPr>
      </w:pPr>
      <w:r w:rsidRPr="00134084">
        <w:t xml:space="preserve">В ходе проведения проверки </w:t>
      </w:r>
      <w:proofErr w:type="gramStart"/>
      <w:r w:rsidRPr="00134084">
        <w:t xml:space="preserve">соблюдения порядка, утвержденного  </w:t>
      </w:r>
      <w:r w:rsidR="00D66274">
        <w:t>Инструкцией</w:t>
      </w:r>
      <w:r w:rsidR="00D66274" w:rsidRPr="00D66274">
        <w:t xml:space="preserve"> № 191н</w:t>
      </w:r>
      <w:r w:rsidR="00D66274" w:rsidRPr="00134084">
        <w:t xml:space="preserve"> </w:t>
      </w:r>
      <w:r w:rsidRPr="00134084">
        <w:rPr>
          <w:bCs/>
          <w:color w:val="000000"/>
          <w:shd w:val="clear" w:color="auto" w:fill="FFFFFF"/>
        </w:rPr>
        <w:t xml:space="preserve">при </w:t>
      </w:r>
      <w:r w:rsidRPr="00134084">
        <w:t>составлении и представлении годовой бюджетной отчетности</w:t>
      </w:r>
      <w:r w:rsidRPr="00134084">
        <w:rPr>
          <w:bCs/>
          <w:color w:val="000000"/>
          <w:shd w:val="clear" w:color="auto" w:fill="FFFFFF"/>
        </w:rPr>
        <w:t xml:space="preserve"> главными администраторами бюджетных средств</w:t>
      </w:r>
      <w:r w:rsidRPr="00134084">
        <w:t xml:space="preserve"> за 2019 год </w:t>
      </w:r>
      <w:r w:rsidRPr="00134084">
        <w:rPr>
          <w:bCs/>
          <w:color w:val="000000"/>
          <w:shd w:val="clear" w:color="auto" w:fill="FFFFFF"/>
        </w:rPr>
        <w:t>установлены</w:t>
      </w:r>
      <w:proofErr w:type="gramEnd"/>
      <w:r w:rsidRPr="00134084">
        <w:rPr>
          <w:bCs/>
          <w:color w:val="000000"/>
          <w:shd w:val="clear" w:color="auto" w:fill="FFFFFF"/>
        </w:rPr>
        <w:t xml:space="preserve"> следующие нарушения:</w:t>
      </w:r>
    </w:p>
    <w:p w:rsidR="00FF1B9C" w:rsidRPr="00134084" w:rsidRDefault="00FF1B9C" w:rsidP="00FF1B9C">
      <w:pPr>
        <w:jc w:val="both"/>
        <w:rPr>
          <w:b/>
          <w:bCs/>
          <w:i/>
          <w:color w:val="000000"/>
          <w:shd w:val="clear" w:color="auto" w:fill="FFFFFF"/>
        </w:rPr>
      </w:pPr>
    </w:p>
    <w:p w:rsidR="00FF1B9C" w:rsidRPr="00134084" w:rsidRDefault="00FF1B9C" w:rsidP="00FF1B9C">
      <w:pPr>
        <w:jc w:val="both"/>
        <w:rPr>
          <w:b/>
          <w:bCs/>
          <w:i/>
          <w:color w:val="000000"/>
          <w:shd w:val="clear" w:color="auto" w:fill="FFFFFF"/>
        </w:rPr>
      </w:pPr>
      <w:r w:rsidRPr="00134084">
        <w:rPr>
          <w:b/>
          <w:bCs/>
          <w:i/>
          <w:color w:val="000000"/>
          <w:shd w:val="clear" w:color="auto" w:fill="FFFFFF"/>
        </w:rPr>
        <w:t>МУ «Дума города Тулуна»:</w:t>
      </w:r>
    </w:p>
    <w:p w:rsidR="00FF1B9C" w:rsidRPr="00134084" w:rsidRDefault="00FF1B9C" w:rsidP="00FF1B9C">
      <w:pPr>
        <w:jc w:val="both"/>
        <w:rPr>
          <w:b/>
          <w:bCs/>
          <w:i/>
          <w:color w:val="000000"/>
          <w:shd w:val="clear" w:color="auto" w:fill="FFFFFF"/>
        </w:rPr>
      </w:pPr>
    </w:p>
    <w:p w:rsidR="00FF1B9C" w:rsidRPr="00134084" w:rsidRDefault="00FF1B9C" w:rsidP="00FF1B9C">
      <w:pPr>
        <w:ind w:firstLine="284"/>
        <w:jc w:val="both"/>
      </w:pPr>
      <w:r w:rsidRPr="00134084">
        <w:rPr>
          <w:bCs/>
          <w:color w:val="000000"/>
          <w:shd w:val="clear" w:color="auto" w:fill="FFFFFF"/>
        </w:rPr>
        <w:t>1</w:t>
      </w:r>
      <w:r w:rsidRPr="005D141E">
        <w:rPr>
          <w:bCs/>
          <w:color w:val="000000"/>
          <w:shd w:val="clear" w:color="auto" w:fill="FFFFFF"/>
        </w:rPr>
        <w:t xml:space="preserve">. </w:t>
      </w:r>
      <w:proofErr w:type="gramStart"/>
      <w:r w:rsidRPr="005D141E">
        <w:t>В нарушение</w:t>
      </w:r>
      <w:r w:rsidRPr="00134084">
        <w:t xml:space="preserve">  ст.11 Федерального закона от 06.12.2011г. № 402-ФЗ «О бухгалтерском учете», п. 1.1, 1.5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13.06.1995г. № 49  </w:t>
      </w:r>
      <w:r w:rsidRPr="00134084">
        <w:rPr>
          <w:color w:val="000000"/>
          <w:shd w:val="clear" w:color="auto" w:fill="FFFFFF"/>
        </w:rPr>
        <w:t xml:space="preserve"> перед составлением</w:t>
      </w:r>
      <w:r w:rsidR="005D141E">
        <w:rPr>
          <w:color w:val="000000"/>
          <w:shd w:val="clear" w:color="auto" w:fill="FFFFFF"/>
        </w:rPr>
        <w:t xml:space="preserve"> годовой бюджетной отчетности</w:t>
      </w:r>
      <w:r w:rsidRPr="00134084">
        <w:rPr>
          <w:color w:val="000000"/>
          <w:shd w:val="clear" w:color="auto" w:fill="FFFFFF"/>
        </w:rPr>
        <w:t xml:space="preserve"> </w:t>
      </w:r>
      <w:r w:rsidRPr="005D141E">
        <w:rPr>
          <w:b/>
          <w:i/>
          <w:color w:val="000000"/>
          <w:shd w:val="clear" w:color="auto" w:fill="FFFFFF"/>
        </w:rPr>
        <w:t xml:space="preserve">не проведена инвентаризация имущества и </w:t>
      </w:r>
      <w:r w:rsidRPr="005D141E">
        <w:rPr>
          <w:b/>
          <w:i/>
        </w:rPr>
        <w:t>финансовых обязательств</w:t>
      </w:r>
      <w:r w:rsidRPr="00134084">
        <w:rPr>
          <w:color w:val="000000"/>
          <w:shd w:val="clear" w:color="auto" w:fill="FFFFFF"/>
        </w:rPr>
        <w:t xml:space="preserve"> в МУ «Дума городского округа </w:t>
      </w:r>
      <w:r w:rsidRPr="00134084">
        <w:t>муниципального образования - город Тулун».</w:t>
      </w:r>
      <w:proofErr w:type="gramEnd"/>
      <w:r w:rsidRPr="00134084">
        <w:t xml:space="preserve"> </w:t>
      </w:r>
      <w:r w:rsidRPr="00134084">
        <w:rPr>
          <w:color w:val="000000"/>
          <w:shd w:val="clear" w:color="auto" w:fill="FFFFFF"/>
        </w:rPr>
        <w:t xml:space="preserve"> </w:t>
      </w:r>
      <w:r w:rsidRPr="005D141E">
        <w:rPr>
          <w:color w:val="000000"/>
          <w:shd w:val="clear" w:color="auto" w:fill="FFFFFF"/>
        </w:rPr>
        <w:t>Достоверность</w:t>
      </w:r>
      <w:r w:rsidRPr="00134084">
        <w:rPr>
          <w:color w:val="000000"/>
          <w:shd w:val="clear" w:color="auto" w:fill="FFFFFF"/>
        </w:rPr>
        <w:t xml:space="preserve"> показателей, отраженных в годовой бюджетной отчетности по имуществу и финансовым обязательствам не подтверждена.</w:t>
      </w:r>
    </w:p>
    <w:p w:rsidR="00FF1B9C" w:rsidRPr="005D141E" w:rsidRDefault="00FF1B9C" w:rsidP="00FF1B9C">
      <w:pPr>
        <w:ind w:firstLine="284"/>
        <w:jc w:val="both"/>
      </w:pPr>
      <w:r w:rsidRPr="00134084">
        <w:t xml:space="preserve">2. </w:t>
      </w:r>
      <w:r w:rsidRPr="005D141E">
        <w:t xml:space="preserve">Меры к дебитору по взысканию дебиторской задолженности в размере 6,5 тыс. </w:t>
      </w:r>
      <w:proofErr w:type="spellStart"/>
      <w:r w:rsidRPr="005D141E">
        <w:t>руб</w:t>
      </w:r>
      <w:proofErr w:type="spellEnd"/>
      <w:r w:rsidRPr="005D141E">
        <w:t xml:space="preserve"> в течение 2019 года учреждением не предпринимались.</w:t>
      </w:r>
    </w:p>
    <w:p w:rsidR="00FF1B9C" w:rsidRPr="00134084" w:rsidRDefault="00FF1B9C" w:rsidP="00FF1B9C">
      <w:pPr>
        <w:pStyle w:val="a3"/>
        <w:ind w:left="0" w:firstLine="284"/>
        <w:jc w:val="both"/>
      </w:pPr>
      <w:r w:rsidRPr="005D141E">
        <w:t xml:space="preserve">3. В нарушение п.151 Инструкции 191н в </w:t>
      </w:r>
      <w:r w:rsidRPr="00134084">
        <w:t xml:space="preserve">текстовой части пояснительной записки (ф.0503160) отражена </w:t>
      </w:r>
      <w:r w:rsidRPr="00134084">
        <w:rPr>
          <w:b/>
          <w:i/>
        </w:rPr>
        <w:t>не достоверная</w:t>
      </w:r>
      <w:r w:rsidRPr="00134084">
        <w:t xml:space="preserve"> </w:t>
      </w:r>
      <w:r w:rsidRPr="005D141E">
        <w:rPr>
          <w:b/>
          <w:i/>
        </w:rPr>
        <w:t xml:space="preserve">информация </w:t>
      </w:r>
      <w:r w:rsidRPr="00134084">
        <w:t xml:space="preserve">о мерах по повышению квалификации </w:t>
      </w:r>
      <w:r w:rsidRPr="00134084">
        <w:lastRenderedPageBreak/>
        <w:t xml:space="preserve">и переподготовке специалистов КСП </w:t>
      </w:r>
      <w:proofErr w:type="spellStart"/>
      <w:r w:rsidRPr="00134084">
        <w:t>г</w:t>
      </w:r>
      <w:proofErr w:type="gramStart"/>
      <w:r w:rsidRPr="00134084">
        <w:t>.Т</w:t>
      </w:r>
      <w:proofErr w:type="gramEnd"/>
      <w:r w:rsidRPr="00134084">
        <w:t>улуна</w:t>
      </w:r>
      <w:proofErr w:type="spellEnd"/>
      <w:r w:rsidRPr="00134084">
        <w:t xml:space="preserve">, </w:t>
      </w:r>
      <w:r w:rsidRPr="00134084">
        <w:rPr>
          <w:rFonts w:eastAsia="Calibri"/>
        </w:rPr>
        <w:t>не отражена информация о  мерах по повышению эффективности расходования бюджетных средств.</w:t>
      </w:r>
    </w:p>
    <w:p w:rsidR="00FF1B9C" w:rsidRPr="00134084" w:rsidRDefault="00C10079" w:rsidP="00FF1B9C">
      <w:pPr>
        <w:pStyle w:val="a3"/>
        <w:ind w:left="0" w:firstLine="284"/>
        <w:jc w:val="both"/>
      </w:pPr>
      <w:r w:rsidRPr="00134084">
        <w:t>4</w:t>
      </w:r>
      <w:r w:rsidR="00FF1B9C" w:rsidRPr="00134084">
        <w:t>.</w:t>
      </w:r>
      <w:r w:rsidR="00FF1B9C" w:rsidRPr="00134084">
        <w:rPr>
          <w:b/>
          <w:i/>
        </w:rPr>
        <w:t xml:space="preserve"> </w:t>
      </w:r>
      <w:r w:rsidR="00FF1B9C" w:rsidRPr="005D141E">
        <w:t>В нарушение п.4 Инструкции 191н</w:t>
      </w:r>
      <w:r w:rsidR="00FF1B9C" w:rsidRPr="005D141E">
        <w:rPr>
          <w:color w:val="000000"/>
          <w:shd w:val="clear" w:color="auto" w:fill="FFFFFF"/>
        </w:rPr>
        <w:t xml:space="preserve"> </w:t>
      </w:r>
      <w:r w:rsidR="00FF1B9C" w:rsidRPr="005D141E">
        <w:rPr>
          <w:rFonts w:eastAsia="Calibri"/>
        </w:rPr>
        <w:t>на сопроводительном письме,  а также в левом верхнем углу титульного листа баланса ответственным исполнителем пользователя бюджетной отчетности не проставлена</w:t>
      </w:r>
      <w:r w:rsidR="00FF1B9C" w:rsidRPr="00134084">
        <w:rPr>
          <w:rFonts w:eastAsia="Calibri"/>
        </w:rPr>
        <w:t xml:space="preserve">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FF1B9C" w:rsidRPr="00134084" w:rsidRDefault="00FF1B9C" w:rsidP="00FF1B9C">
      <w:pPr>
        <w:pStyle w:val="a3"/>
        <w:shd w:val="clear" w:color="auto" w:fill="FFFFFF"/>
        <w:ind w:left="0"/>
        <w:jc w:val="both"/>
        <w:rPr>
          <w:color w:val="000000"/>
        </w:rPr>
      </w:pPr>
    </w:p>
    <w:p w:rsidR="00FF1B9C" w:rsidRPr="00134084" w:rsidRDefault="00FF1B9C" w:rsidP="00FF1B9C">
      <w:pPr>
        <w:jc w:val="both"/>
        <w:rPr>
          <w:b/>
          <w:bCs/>
          <w:i/>
          <w:color w:val="000000"/>
          <w:shd w:val="clear" w:color="auto" w:fill="FFFFFF"/>
        </w:rPr>
      </w:pPr>
      <w:r w:rsidRPr="00134084">
        <w:rPr>
          <w:b/>
          <w:bCs/>
          <w:i/>
          <w:color w:val="000000"/>
          <w:shd w:val="clear" w:color="auto" w:fill="FFFFFF"/>
        </w:rPr>
        <w:t>МУ «Администрация города Тулуна»:</w:t>
      </w:r>
    </w:p>
    <w:p w:rsidR="00FF1B9C" w:rsidRPr="00134084" w:rsidRDefault="00FF1B9C" w:rsidP="00FF1B9C">
      <w:pPr>
        <w:jc w:val="both"/>
        <w:rPr>
          <w:b/>
          <w:bCs/>
          <w:i/>
          <w:color w:val="000000"/>
          <w:shd w:val="clear" w:color="auto" w:fill="FFFFFF"/>
        </w:rPr>
      </w:pPr>
    </w:p>
    <w:p w:rsidR="00FF1B9C" w:rsidRPr="00134084" w:rsidRDefault="00FF1B9C" w:rsidP="00FF1B9C">
      <w:pPr>
        <w:ind w:firstLine="708"/>
        <w:jc w:val="both"/>
        <w:rPr>
          <w:color w:val="000000"/>
        </w:rPr>
      </w:pPr>
      <w:r w:rsidRPr="00134084">
        <w:rPr>
          <w:color w:val="000000"/>
        </w:rPr>
        <w:t xml:space="preserve">1. </w:t>
      </w:r>
      <w:r w:rsidRPr="005D141E">
        <w:rPr>
          <w:color w:val="000000"/>
        </w:rPr>
        <w:t>В нарушение п.4 Инструкции 191н</w:t>
      </w:r>
      <w:r w:rsidRPr="00134084">
        <w:rPr>
          <w:color w:val="000000"/>
        </w:rPr>
        <w:t xml:space="preserve"> (в редакции Приказа Минфина России от 20.08.2018г № 131н)  на сопроводительном письме, а также в левом верхнем углу титульного листа баланса ответственным  исполнителем пользователя бюджетной отчетности не проставлена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FF1B9C" w:rsidRPr="00134084" w:rsidRDefault="00FF1B9C" w:rsidP="00FF1B9C">
      <w:pPr>
        <w:jc w:val="both"/>
        <w:rPr>
          <w:color w:val="000000"/>
        </w:rPr>
      </w:pPr>
      <w:r w:rsidRPr="00134084">
        <w:rPr>
          <w:color w:val="000000"/>
        </w:rPr>
        <w:tab/>
      </w:r>
      <w:r w:rsidR="00C10079" w:rsidRPr="00134084">
        <w:rPr>
          <w:color w:val="000000"/>
        </w:rPr>
        <w:t>2</w:t>
      </w:r>
      <w:r w:rsidRPr="00134084">
        <w:rPr>
          <w:color w:val="000000"/>
        </w:rPr>
        <w:t xml:space="preserve">. В разделе 3 пояснительной записки ГАБС (ф.0503160)  </w:t>
      </w:r>
      <w:r w:rsidRPr="00134084">
        <w:rPr>
          <w:b/>
          <w:i/>
          <w:color w:val="000000"/>
        </w:rPr>
        <w:t>недостоверно отражена</w:t>
      </w:r>
      <w:r w:rsidRPr="00134084">
        <w:rPr>
          <w:color w:val="000000"/>
        </w:rPr>
        <w:t xml:space="preserve"> </w:t>
      </w:r>
      <w:r w:rsidRPr="00134084">
        <w:rPr>
          <w:b/>
          <w:i/>
          <w:color w:val="000000"/>
        </w:rPr>
        <w:t>информация</w:t>
      </w:r>
      <w:r w:rsidRPr="00134084">
        <w:rPr>
          <w:color w:val="000000"/>
        </w:rPr>
        <w:t xml:space="preserve"> </w:t>
      </w:r>
      <w:r w:rsidRPr="005D141E">
        <w:rPr>
          <w:b/>
          <w:i/>
          <w:color w:val="000000"/>
        </w:rPr>
        <w:t>о расходах на обслуживание муниципального долга</w:t>
      </w:r>
      <w:r w:rsidRPr="00134084">
        <w:rPr>
          <w:color w:val="000000"/>
        </w:rPr>
        <w:t xml:space="preserve"> следующего содержания: «В 2019 году утвержден предельный объем расходов на обслуживание муниципального долга в размере 245,7 </w:t>
      </w:r>
      <w:proofErr w:type="spellStart"/>
      <w:proofErr w:type="gramStart"/>
      <w:r w:rsidRPr="00134084">
        <w:rPr>
          <w:color w:val="000000"/>
        </w:rPr>
        <w:t>тыс</w:t>
      </w:r>
      <w:proofErr w:type="spellEnd"/>
      <w:proofErr w:type="gramEnd"/>
      <w:r w:rsidRPr="00134084">
        <w:rPr>
          <w:color w:val="000000"/>
        </w:rPr>
        <w:t xml:space="preserve"> руб.,  расходы составили 245,7 тыс. руб., что составляет 100 % от плана». Фактически расходы местного бюджета на обслуживание муниципального долга в 2019 году не производились, т.е. сведения в пояснительной записке в части отражения расходов на обслуживание муниципального долга не </w:t>
      </w:r>
      <w:r w:rsidR="005D141E">
        <w:rPr>
          <w:color w:val="000000"/>
        </w:rPr>
        <w:t>соответствуют действительности.</w:t>
      </w:r>
      <w:r w:rsidRPr="00134084">
        <w:rPr>
          <w:color w:val="000000"/>
        </w:rPr>
        <w:tab/>
      </w:r>
    </w:p>
    <w:p w:rsidR="00FF1B9C" w:rsidRPr="00134084" w:rsidRDefault="00FF1B9C" w:rsidP="00FF1B9C">
      <w:pPr>
        <w:ind w:firstLine="708"/>
        <w:jc w:val="both"/>
      </w:pPr>
    </w:p>
    <w:p w:rsidR="00FF1B9C" w:rsidRPr="00134084" w:rsidRDefault="00FF1B9C" w:rsidP="00FF1B9C">
      <w:pPr>
        <w:pStyle w:val="a3"/>
        <w:ind w:left="0"/>
        <w:jc w:val="both"/>
        <w:rPr>
          <w:rFonts w:eastAsia="Calibri"/>
          <w:b/>
          <w:i/>
        </w:rPr>
      </w:pPr>
      <w:r w:rsidRPr="00134084">
        <w:rPr>
          <w:b/>
          <w:i/>
        </w:rPr>
        <w:t xml:space="preserve">МКУ </w:t>
      </w:r>
      <w:r w:rsidRPr="00134084">
        <w:rPr>
          <w:rFonts w:eastAsia="Calibri"/>
          <w:b/>
          <w:i/>
        </w:rPr>
        <w:t>«Комитет социальной политики администрации городского округа муниципального образования – «город Тулун»:</w:t>
      </w:r>
    </w:p>
    <w:p w:rsidR="00FF1B9C" w:rsidRPr="00134084" w:rsidRDefault="00FF1B9C" w:rsidP="00FF1B9C">
      <w:pPr>
        <w:pStyle w:val="a3"/>
        <w:ind w:left="0"/>
        <w:jc w:val="both"/>
        <w:rPr>
          <w:rFonts w:eastAsia="Calibri"/>
          <w:b/>
          <w:i/>
        </w:rPr>
      </w:pPr>
    </w:p>
    <w:p w:rsidR="00FF1B9C" w:rsidRPr="00134084" w:rsidRDefault="00FF1B9C" w:rsidP="00FF1B9C">
      <w:pPr>
        <w:ind w:firstLine="708"/>
        <w:jc w:val="both"/>
      </w:pPr>
      <w:r w:rsidRPr="00134084">
        <w:t>1. Годов</w:t>
      </w:r>
      <w:r w:rsidR="00C10079" w:rsidRPr="00134084">
        <w:t>ая бюджетная отчетность Комитета</w:t>
      </w:r>
      <w:r w:rsidRPr="00134084">
        <w:t xml:space="preserve"> за 2019 год представлена в Комитет по финансам администрации городского округа</w:t>
      </w:r>
      <w:r w:rsidRPr="00134084">
        <w:rPr>
          <w:b/>
          <w:i/>
        </w:rPr>
        <w:t xml:space="preserve"> несвоевременно</w:t>
      </w:r>
      <w:r w:rsidR="00C10079" w:rsidRPr="00134084">
        <w:t>,</w:t>
      </w:r>
      <w:r w:rsidRPr="00134084">
        <w:t xml:space="preserve"> на один день позже срока, установленного для главного распорядителя бюджетных средств.</w:t>
      </w:r>
    </w:p>
    <w:p w:rsidR="00FF1B9C" w:rsidRPr="00134084" w:rsidRDefault="00FF1B9C" w:rsidP="00FF1B9C">
      <w:pPr>
        <w:ind w:firstLine="708"/>
        <w:jc w:val="both"/>
      </w:pPr>
      <w:r w:rsidRPr="00134084">
        <w:t xml:space="preserve">2. </w:t>
      </w:r>
      <w:r w:rsidRPr="005D141E">
        <w:t>В нарушение п.4 Инструкции 191н</w:t>
      </w:r>
      <w:r w:rsidRPr="00134084">
        <w:t xml:space="preserve"> (в редакции Приказа Минфина России от 20.08.2018г № 131н) на сопроводительном письме, а также в левом верхнем углу титульного листа баланса ответственным  исполнителем пользователя бюджетной отчетности не проставлена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FF1B9C" w:rsidRPr="00134084" w:rsidRDefault="00FF1B9C" w:rsidP="00FF1B9C">
      <w:pPr>
        <w:jc w:val="both"/>
        <w:rPr>
          <w:b/>
          <w:i/>
        </w:rPr>
      </w:pPr>
    </w:p>
    <w:p w:rsidR="00FF1B9C" w:rsidRPr="00134084" w:rsidRDefault="00FF1B9C" w:rsidP="00FF1B9C">
      <w:pPr>
        <w:jc w:val="both"/>
        <w:rPr>
          <w:b/>
          <w:i/>
        </w:rPr>
      </w:pPr>
      <w:proofErr w:type="spellStart"/>
      <w:r w:rsidRPr="00134084">
        <w:rPr>
          <w:b/>
          <w:i/>
        </w:rPr>
        <w:t>Тулунская</w:t>
      </w:r>
      <w:proofErr w:type="spellEnd"/>
      <w:r w:rsidRPr="00134084">
        <w:rPr>
          <w:b/>
          <w:i/>
        </w:rPr>
        <w:t xml:space="preserve"> городская территориальная избирательная комиссия:</w:t>
      </w:r>
    </w:p>
    <w:p w:rsidR="00FF1B9C" w:rsidRPr="00134084" w:rsidRDefault="00FF1B9C" w:rsidP="00FF1B9C">
      <w:pPr>
        <w:jc w:val="both"/>
        <w:rPr>
          <w:b/>
          <w:i/>
        </w:rPr>
      </w:pPr>
    </w:p>
    <w:p w:rsidR="00FF1B9C" w:rsidRPr="00134084" w:rsidRDefault="00FF1B9C" w:rsidP="00FF1B9C">
      <w:pPr>
        <w:ind w:firstLine="708"/>
        <w:jc w:val="both"/>
      </w:pPr>
      <w:r w:rsidRPr="00134084">
        <w:t xml:space="preserve">1. Годовая бюджетная отчетность </w:t>
      </w:r>
      <w:proofErr w:type="spellStart"/>
      <w:r w:rsidRPr="00134084">
        <w:t>Тулунской</w:t>
      </w:r>
      <w:proofErr w:type="spellEnd"/>
      <w:r w:rsidRPr="00134084">
        <w:t xml:space="preserve"> городской территориальной избирательной комиссии за 2019 год представлена в Комитет по финансам администрации городского округа</w:t>
      </w:r>
      <w:r w:rsidRPr="00134084">
        <w:rPr>
          <w:b/>
        </w:rPr>
        <w:t xml:space="preserve"> </w:t>
      </w:r>
      <w:r w:rsidRPr="00134084">
        <w:rPr>
          <w:b/>
          <w:i/>
        </w:rPr>
        <w:t>несвоевременно:</w:t>
      </w:r>
      <w:r w:rsidRPr="00134084">
        <w:t xml:space="preserve"> на один день позже срока, установленного для главного распорядителя бюджетных средств.</w:t>
      </w:r>
    </w:p>
    <w:p w:rsidR="00FF1B9C" w:rsidRPr="00134084" w:rsidRDefault="00FF1B9C" w:rsidP="00FF1B9C">
      <w:pPr>
        <w:ind w:firstLine="708"/>
        <w:jc w:val="both"/>
      </w:pPr>
      <w:r w:rsidRPr="00134084">
        <w:t xml:space="preserve">2. </w:t>
      </w:r>
      <w:r w:rsidRPr="005D141E">
        <w:t>В нарушение п.4 Инструкции 191н</w:t>
      </w:r>
      <w:r w:rsidRPr="00134084">
        <w:t xml:space="preserve"> (в редакции Приказа Минфина России от 20.08.2018г № 131н) на сопроводительном письме, а также в левом верхнем углу титульного листа баланса ответственным  исполнителем пользователя бюджетной отчетности не проставлена отметка о поступлении отчетности, содержащая дату поступления, должность, подпись (с расшифровкой) ответственного исполнителя, принявшего отчетность.</w:t>
      </w:r>
    </w:p>
    <w:p w:rsidR="00FF1B9C" w:rsidRPr="00134084" w:rsidRDefault="00C10079" w:rsidP="00FF1B9C">
      <w:pPr>
        <w:ind w:firstLine="708"/>
        <w:jc w:val="both"/>
        <w:rPr>
          <w:bCs/>
        </w:rPr>
      </w:pPr>
      <w:r w:rsidRPr="00134084">
        <w:rPr>
          <w:bCs/>
        </w:rPr>
        <w:t>3</w:t>
      </w:r>
      <w:r w:rsidR="00FF1B9C" w:rsidRPr="00134084">
        <w:rPr>
          <w:bCs/>
        </w:rPr>
        <w:t xml:space="preserve">. </w:t>
      </w:r>
      <w:r w:rsidR="00FF1B9C" w:rsidRPr="00134084">
        <w:rPr>
          <w:b/>
          <w:bCs/>
          <w:i/>
        </w:rPr>
        <w:t>В нарушение пунктов 68.1, 73.1</w:t>
      </w:r>
      <w:r w:rsidR="00FF1B9C" w:rsidRPr="00134084">
        <w:rPr>
          <w:b/>
          <w:i/>
        </w:rPr>
        <w:t xml:space="preserve"> </w:t>
      </w:r>
      <w:r w:rsidR="00FF1B9C" w:rsidRPr="00134084">
        <w:rPr>
          <w:b/>
          <w:bCs/>
          <w:i/>
        </w:rPr>
        <w:t>Инструкции 191н</w:t>
      </w:r>
      <w:r w:rsidR="00FF1B9C" w:rsidRPr="00134084">
        <w:rPr>
          <w:bCs/>
        </w:rPr>
        <w:t xml:space="preserve"> отчет о ходе реализации национальных проектов (программ) (</w:t>
      </w:r>
      <w:hyperlink r:id="rId11" w:history="1">
        <w:r w:rsidR="00FF1B9C" w:rsidRPr="00134084">
          <w:rPr>
            <w:rStyle w:val="aa"/>
            <w:bCs/>
          </w:rPr>
          <w:t>ф.0503128-НП</w:t>
        </w:r>
      </w:hyperlink>
      <w:r w:rsidR="00FF1B9C" w:rsidRPr="00134084">
        <w:rPr>
          <w:bCs/>
        </w:rPr>
        <w:t xml:space="preserve">)  в  составе годовой отчетности Комиссией не представлен, в разделе 5 пояснительной записки (ф.0503160) информация о причинах не включения </w:t>
      </w:r>
      <w:hyperlink r:id="rId12" w:history="1">
        <w:r w:rsidR="00FF1B9C" w:rsidRPr="00134084">
          <w:rPr>
            <w:rStyle w:val="aa"/>
            <w:bCs/>
          </w:rPr>
          <w:t>ф.0503128-НП</w:t>
        </w:r>
      </w:hyperlink>
      <w:r w:rsidR="00FF1B9C" w:rsidRPr="00134084">
        <w:rPr>
          <w:bCs/>
        </w:rPr>
        <w:t xml:space="preserve"> в состав годовой отчетности не отражена.</w:t>
      </w:r>
    </w:p>
    <w:p w:rsidR="00FF1B9C" w:rsidRDefault="00FD422B" w:rsidP="00FF1B9C">
      <w:pPr>
        <w:ind w:firstLine="708"/>
        <w:jc w:val="both"/>
      </w:pPr>
      <w:r w:rsidRPr="00134084">
        <w:lastRenderedPageBreak/>
        <w:t>4</w:t>
      </w:r>
      <w:r w:rsidR="00FF1B9C" w:rsidRPr="00134084">
        <w:t xml:space="preserve">. </w:t>
      </w:r>
      <w:r w:rsidR="00FF1B9C" w:rsidRPr="005D141E">
        <w:t>В отчете о движении денежных средств (ф. 0503123)</w:t>
      </w:r>
      <w:r w:rsidR="00FF1B9C" w:rsidRPr="00134084">
        <w:t xml:space="preserve"> в графе 5 разделов 2 и 3 отражены  сопоставимые показатели о выбытиях и изменениях остатков средств за аналогичный период 2018 года. Согласно п.8  приложения №1 к Письму Минфина России N 02-06-07/103995, Федерального казначейства N 07-04-05/02-29148 от 31.12.2019г  графа  5  разделов 1 «Поступления», 2 «Выбытия» и 3 «Изменение остатков средств» отчета о движении денежных средств (ф.0503123) не заполняется.</w:t>
      </w:r>
    </w:p>
    <w:p w:rsidR="007142DE" w:rsidRDefault="007142DE" w:rsidP="00134084"/>
    <w:p w:rsidR="00FF3E0B" w:rsidRDefault="00FF3E0B" w:rsidP="00686F20">
      <w:pPr>
        <w:autoSpaceDE w:val="0"/>
        <w:autoSpaceDN w:val="0"/>
        <w:adjustRightInd w:val="0"/>
        <w:jc w:val="both"/>
        <w:rPr>
          <w:rFonts w:eastAsia="Calibri"/>
        </w:rPr>
      </w:pPr>
    </w:p>
    <w:p w:rsidR="00FF3E0B" w:rsidRDefault="007142DE" w:rsidP="007142DE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7142DE">
        <w:rPr>
          <w:rFonts w:eastAsia="Calibri"/>
          <w:b/>
          <w:i/>
        </w:rPr>
        <w:t>3.2 Внешняя проверка годового</w:t>
      </w:r>
      <w:r w:rsidR="00FF3E0B" w:rsidRPr="007142DE">
        <w:rPr>
          <w:rFonts w:eastAsia="Calibri"/>
          <w:b/>
          <w:i/>
        </w:rPr>
        <w:t xml:space="preserve"> отчет</w:t>
      </w:r>
      <w:r w:rsidRPr="007142DE">
        <w:rPr>
          <w:rFonts w:eastAsia="Calibri"/>
          <w:b/>
          <w:i/>
        </w:rPr>
        <w:t>а</w:t>
      </w:r>
      <w:r w:rsidR="00FF3E0B" w:rsidRPr="007142DE">
        <w:rPr>
          <w:rFonts w:eastAsia="Calibri"/>
          <w:b/>
          <w:i/>
        </w:rPr>
        <w:t xml:space="preserve"> об исполнении </w:t>
      </w:r>
      <w:r w:rsidRPr="007142DE">
        <w:rPr>
          <w:rFonts w:eastAsia="Calibri"/>
          <w:b/>
          <w:i/>
        </w:rPr>
        <w:t xml:space="preserve">местного </w:t>
      </w:r>
      <w:r w:rsidR="00FF3E0B" w:rsidRPr="007142DE">
        <w:rPr>
          <w:rFonts w:eastAsia="Calibri"/>
          <w:b/>
          <w:i/>
        </w:rPr>
        <w:t>бюджета</w:t>
      </w:r>
      <w:r w:rsidRPr="007142DE">
        <w:rPr>
          <w:rFonts w:eastAsia="Calibri"/>
          <w:b/>
          <w:i/>
        </w:rPr>
        <w:t xml:space="preserve"> за 2019 год</w:t>
      </w:r>
    </w:p>
    <w:p w:rsidR="00FF1B9C" w:rsidRDefault="00FF1B9C" w:rsidP="007142DE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</w:p>
    <w:p w:rsidR="00FF1B9C" w:rsidRPr="00134084" w:rsidRDefault="0045188E" w:rsidP="00FF1B9C">
      <w:pPr>
        <w:shd w:val="clear" w:color="auto" w:fill="FFFFFF"/>
        <w:jc w:val="both"/>
      </w:pPr>
      <w:r>
        <w:rPr>
          <w:bCs/>
          <w:color w:val="000000"/>
          <w:shd w:val="clear" w:color="auto" w:fill="FFFFFF"/>
        </w:rPr>
        <w:t xml:space="preserve">               </w:t>
      </w:r>
      <w:r w:rsidR="00FF1B9C" w:rsidRPr="00134084">
        <w:rPr>
          <w:bCs/>
          <w:color w:val="000000"/>
          <w:shd w:val="clear" w:color="auto" w:fill="FFFFFF"/>
        </w:rPr>
        <w:t xml:space="preserve">Годовой </w:t>
      </w:r>
      <w:r w:rsidR="00FF1B9C" w:rsidRPr="00134084">
        <w:t>отчет об исполнении бюджета муниципального образования – «город</w:t>
      </w:r>
      <w:r w:rsidR="00FF1B9C" w:rsidRPr="00134084">
        <w:rPr>
          <w:b/>
        </w:rPr>
        <w:t xml:space="preserve"> </w:t>
      </w:r>
      <w:r w:rsidR="00FF1B9C" w:rsidRPr="00134084">
        <w:t xml:space="preserve">Тулун» за  2019 год составлен Комитетом по финансам администрации городского округа муниципального образования – «город Тулун» и предоставлен в Министерство финансов Иркутской </w:t>
      </w:r>
      <w:proofErr w:type="gramStart"/>
      <w:r w:rsidR="00FF1B9C" w:rsidRPr="00134084">
        <w:t>области</w:t>
      </w:r>
      <w:proofErr w:type="gramEnd"/>
      <w:r w:rsidR="00FF1B9C" w:rsidRPr="00134084">
        <w:t xml:space="preserve"> в полном объеме предусмотренных Инструкцией форм и в срок, установленный приказом Министерства финансов Иркутской области от 22.01.2020г.        № 5н-мпр. </w:t>
      </w:r>
      <w:r w:rsidR="00FF1B9C" w:rsidRPr="00134084">
        <w:rPr>
          <w:bCs/>
          <w:color w:val="000000"/>
          <w:shd w:val="clear" w:color="auto" w:fill="FFFFFF"/>
        </w:rPr>
        <w:t xml:space="preserve">Годовая бюджетная (бухгалтерская) </w:t>
      </w:r>
      <w:r w:rsidR="00FF1B9C" w:rsidRPr="00134084">
        <w:t>отчетность Комитета по финансам администрации городского округа  муниципального образования – «город Тулун» за  2019 год принята Министерством финансов Иркутской области, что подтверждается уведомлением Министерства финансов Иркутской области о принятии отчетности от 15.04.2020г.  №  3596.</w:t>
      </w:r>
    </w:p>
    <w:p w:rsidR="00823445" w:rsidRPr="00134084" w:rsidRDefault="00823445" w:rsidP="00823445">
      <w:pPr>
        <w:autoSpaceDE w:val="0"/>
        <w:autoSpaceDN w:val="0"/>
        <w:adjustRightInd w:val="0"/>
        <w:jc w:val="both"/>
        <w:rPr>
          <w:rFonts w:eastAsia="Calibri"/>
        </w:rPr>
      </w:pPr>
    </w:p>
    <w:p w:rsidR="0045188E" w:rsidRDefault="000E1685" w:rsidP="000E168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E71CC0">
        <w:rPr>
          <w:i/>
        </w:rPr>
        <w:t xml:space="preserve">Баланс исполнения консолидированного бюджета субъекта Российской Федерации и бюджета территориального государственного внебюджетного фонда (ф.0503320) </w:t>
      </w:r>
    </w:p>
    <w:p w:rsidR="000E1685" w:rsidRPr="00E71CC0" w:rsidRDefault="000E1685" w:rsidP="000E168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E71CC0">
        <w:rPr>
          <w:i/>
        </w:rPr>
        <w:t>(далее Баланс).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Баланс составлен на 01.01.2020 года в соответствии с п.183-190 Инструкции № 191н. </w:t>
      </w:r>
      <w:proofErr w:type="gramStart"/>
      <w:r w:rsidRPr="00134084">
        <w:t>Показатели  в балансе отражены в разрезе данных консолидированного бюджета субъекта Российской Федерации и бюджета территориального государственного внебюджетного фонда (графы 3, 16), консолидированного бюджета субъекта Российской Федерации (графы 5, 18), бюджетов городских округов (графы 9, 22) соответственно на начало и на конец отчетного периода в соответствии с п.184 Инструкции № 191н.</w:t>
      </w:r>
      <w:proofErr w:type="gramEnd"/>
      <w:r w:rsidRPr="00134084">
        <w:t xml:space="preserve"> </w:t>
      </w:r>
      <w:r w:rsidRPr="00134084">
        <w:rPr>
          <w:color w:val="000000"/>
          <w:shd w:val="clear" w:color="auto" w:fill="FFFFFF"/>
        </w:rPr>
        <w:t>Показатели о стоимости активов, обязательств, финансовом результате на начало отчетного периода соответствуют показателям на конец отчетного периода предыдущего года.</w:t>
      </w:r>
      <w:r w:rsidRPr="00134084">
        <w:rPr>
          <w:rStyle w:val="apple-converted-space"/>
          <w:color w:val="000000"/>
          <w:shd w:val="clear" w:color="auto" w:fill="FFFFFF"/>
        </w:rPr>
        <w:t> </w:t>
      </w:r>
      <w:r w:rsidRPr="00134084">
        <w:t>Показатели о стоимости активов и обязательств, финансовом результате на конец отчетного периода отражены с учетом проведенных 31 декабря при завершении финансового года заключительных оборотов по счетам бюджетного учета. Изменения показателей баланса по состоянию на 01.01.2020г. по сравнению  с соответствующими показателями баланса на начало отчетного периода: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- увеличение стоимости основных средств на сумму  3 047,3 </w:t>
      </w:r>
      <w:proofErr w:type="spellStart"/>
      <w:r w:rsidRPr="00134084">
        <w:t>тыс</w:t>
      </w:r>
      <w:proofErr w:type="gramStart"/>
      <w:r w:rsidRPr="00134084">
        <w:t>.р</w:t>
      </w:r>
      <w:proofErr w:type="gramEnd"/>
      <w:r w:rsidRPr="00134084">
        <w:t>уб</w:t>
      </w:r>
      <w:proofErr w:type="spellEnd"/>
      <w:r w:rsidRPr="00134084">
        <w:t xml:space="preserve">., 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- увеличение стоимости непроизведенных активов (земля) на сумму 98 367,6 </w:t>
      </w:r>
      <w:proofErr w:type="spellStart"/>
      <w:r w:rsidRPr="00134084">
        <w:t>тыс</w:t>
      </w:r>
      <w:proofErr w:type="gramStart"/>
      <w:r w:rsidRPr="00134084">
        <w:t>.р</w:t>
      </w:r>
      <w:proofErr w:type="gramEnd"/>
      <w:r w:rsidRPr="00134084">
        <w:t>уб</w:t>
      </w:r>
      <w:proofErr w:type="spellEnd"/>
      <w:r w:rsidRPr="00134084">
        <w:t xml:space="preserve">., 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- увеличение  стоимости материальных запасов на сумму 1 248,9 </w:t>
      </w:r>
      <w:proofErr w:type="spellStart"/>
      <w:r w:rsidRPr="00134084">
        <w:t>тыс</w:t>
      </w:r>
      <w:proofErr w:type="gramStart"/>
      <w:r w:rsidRPr="00134084">
        <w:t>.р</w:t>
      </w:r>
      <w:proofErr w:type="gramEnd"/>
      <w:r w:rsidRPr="00134084">
        <w:t>уб</w:t>
      </w:r>
      <w:proofErr w:type="spellEnd"/>
      <w:r w:rsidRPr="00134084">
        <w:t>.,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- увеличение стоимости имущества казны на сумму 4 742,1 </w:t>
      </w:r>
      <w:proofErr w:type="spellStart"/>
      <w:r w:rsidRPr="00134084">
        <w:t>тыс</w:t>
      </w:r>
      <w:proofErr w:type="gramStart"/>
      <w:r w:rsidRPr="00134084">
        <w:t>.р</w:t>
      </w:r>
      <w:proofErr w:type="gramEnd"/>
      <w:r w:rsidRPr="00134084">
        <w:t>уб</w:t>
      </w:r>
      <w:proofErr w:type="spellEnd"/>
      <w:r w:rsidRPr="00134084">
        <w:t>.,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- увеличение стоимости финансовых активов на сумму 1 531 833,8 </w:t>
      </w:r>
      <w:proofErr w:type="spellStart"/>
      <w:r w:rsidRPr="00134084">
        <w:t>тыс</w:t>
      </w:r>
      <w:proofErr w:type="gramStart"/>
      <w:r w:rsidRPr="00134084">
        <w:t>.р</w:t>
      </w:r>
      <w:proofErr w:type="gramEnd"/>
      <w:r w:rsidRPr="00134084">
        <w:t>уб</w:t>
      </w:r>
      <w:proofErr w:type="spellEnd"/>
      <w:r w:rsidRPr="00134084">
        <w:t xml:space="preserve">., 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- увеличение стоимости обязательств на сумму 1 482 789,2 </w:t>
      </w:r>
      <w:proofErr w:type="spellStart"/>
      <w:r w:rsidRPr="00134084">
        <w:t>тыс</w:t>
      </w:r>
      <w:proofErr w:type="gramStart"/>
      <w:r w:rsidRPr="00134084">
        <w:t>.р</w:t>
      </w:r>
      <w:proofErr w:type="gramEnd"/>
      <w:r w:rsidRPr="00134084">
        <w:t>уб</w:t>
      </w:r>
      <w:proofErr w:type="spellEnd"/>
      <w:r w:rsidRPr="00134084">
        <w:t>. за счет увеличения стоимости расчетов по доходам.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</w:p>
    <w:p w:rsidR="000E1685" w:rsidRPr="00E71CC0" w:rsidRDefault="000E1685" w:rsidP="000E1685">
      <w:pPr>
        <w:jc w:val="center"/>
        <w:rPr>
          <w:i/>
        </w:rPr>
      </w:pPr>
      <w:r w:rsidRPr="00E71CC0">
        <w:rPr>
          <w:i/>
        </w:rPr>
        <w:t>Справка по заключению счетов бюджетного учета (ф.0503110)</w:t>
      </w:r>
    </w:p>
    <w:p w:rsidR="000E1685" w:rsidRPr="00134084" w:rsidRDefault="000E1685" w:rsidP="000E1685">
      <w:pPr>
        <w:jc w:val="center"/>
        <w:rPr>
          <w:i/>
        </w:rPr>
      </w:pPr>
    </w:p>
    <w:p w:rsidR="000E1685" w:rsidRPr="00134084" w:rsidRDefault="000E1685" w:rsidP="000E168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34084">
        <w:t>Справка  по заключению счетов бюджетного учета отчетного финансового года отражает обороты  по счетам бюджетного учета, подлежащим закрытию по завершению отчетного финансового года в разрезе бюджетной деятельности.</w:t>
      </w:r>
      <w:r w:rsidRPr="00134084">
        <w:rPr>
          <w:rFonts w:eastAsia="Calibri"/>
          <w:lang w:eastAsia="en-US"/>
        </w:rPr>
        <w:t xml:space="preserve"> Справка составлена в соответствии с пунктами 191-193 Инструкции № 191н.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  <w:rPr>
          <w:rStyle w:val="apple-converted-space"/>
          <w:color w:val="000000"/>
          <w:shd w:val="clear" w:color="auto" w:fill="FFFFFF"/>
        </w:rPr>
      </w:pPr>
    </w:p>
    <w:p w:rsidR="000E1685" w:rsidRPr="00E71CC0" w:rsidRDefault="000E1685" w:rsidP="000E1685">
      <w:pPr>
        <w:jc w:val="center"/>
        <w:rPr>
          <w:i/>
        </w:rPr>
      </w:pPr>
      <w:r w:rsidRPr="00E71CC0">
        <w:rPr>
          <w:i/>
        </w:rPr>
        <w:t>Консолидированный отчет о финансовых результатах деятельности (ф.0503321)</w:t>
      </w:r>
    </w:p>
    <w:p w:rsidR="000E1685" w:rsidRPr="00134084" w:rsidRDefault="000E1685" w:rsidP="000E1685">
      <w:pPr>
        <w:jc w:val="center"/>
      </w:pP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 xml:space="preserve">Согласно требованиям п. 194-197 Инструкции № 191н отчет о финансовых результатах деятельности ф.0503321 сформирован путем суммирования одноименных показателей по одинаковым строкам и графам отчетов ф.0503121 представленных главными администраторами бюджетных средств, включаемых в сводный отчет о финансовых результатах деятельности и исключения взаимосвязанных показателей. </w:t>
      </w:r>
      <w:r w:rsidRPr="00134084">
        <w:rPr>
          <w:color w:val="000000"/>
          <w:shd w:val="clear" w:color="auto" w:fill="FFFFFF"/>
        </w:rPr>
        <w:t xml:space="preserve">Показатели в отчете  соответствуют показателям, отраженным в </w:t>
      </w:r>
      <w:r w:rsidRPr="00134084">
        <w:t>справке по заключению счетов бюджетного учета отчетного финансового года (ф. </w:t>
      </w:r>
      <w:r w:rsidRPr="00134084">
        <w:rPr>
          <w:bCs/>
        </w:rPr>
        <w:t>0503110</w:t>
      </w:r>
      <w:r w:rsidRPr="00134084">
        <w:t>).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</w:p>
    <w:p w:rsidR="000E1685" w:rsidRPr="00E71CC0" w:rsidRDefault="000E1685" w:rsidP="000E168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E71CC0">
        <w:rPr>
          <w:i/>
        </w:rPr>
        <w:t>Консолидированный отчет о движении денежных средств (ф.0503323)</w:t>
      </w: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0E1685" w:rsidRPr="00134084" w:rsidRDefault="000E1685" w:rsidP="000E1685">
      <w:pPr>
        <w:widowControl w:val="0"/>
        <w:autoSpaceDE w:val="0"/>
        <w:autoSpaceDN w:val="0"/>
        <w:adjustRightInd w:val="0"/>
        <w:jc w:val="both"/>
      </w:pPr>
      <w:r w:rsidRPr="00134084">
        <w:t>Отчет составлен в соответствии с п. 198-201 Инструкции № 191н    на основании данных о движении денежных средств на едином счете бюджета  и на основании данных, представленных главными администраторами бюджетных средств о движении денежных средств. В отчете показатели по поступлению, выбытию, изменению остатков средств отражены в разрезе кодов КОСГУ.</w:t>
      </w:r>
    </w:p>
    <w:p w:rsidR="000E1685" w:rsidRPr="00134084" w:rsidRDefault="000E1685" w:rsidP="000E1685"/>
    <w:p w:rsidR="000E1685" w:rsidRPr="00E71CC0" w:rsidRDefault="000E1685" w:rsidP="000E1685">
      <w:pPr>
        <w:jc w:val="center"/>
        <w:rPr>
          <w:i/>
        </w:rPr>
      </w:pPr>
      <w:r w:rsidRPr="00E71CC0">
        <w:rPr>
          <w:i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</w:p>
    <w:p w:rsidR="00415173" w:rsidRPr="00134084" w:rsidRDefault="00415173" w:rsidP="00415173">
      <w:pPr>
        <w:rPr>
          <w:b/>
          <w:i/>
        </w:rPr>
      </w:pPr>
    </w:p>
    <w:p w:rsidR="00415173" w:rsidRPr="00134084" w:rsidRDefault="00415173" w:rsidP="00415173">
      <w:pPr>
        <w:jc w:val="both"/>
        <w:rPr>
          <w:b/>
          <w:i/>
        </w:rPr>
      </w:pPr>
      <w:r w:rsidRPr="00134084">
        <w:t>Отчет составлен в соответствии с п. 204-212 Инструкции № 191н.</w:t>
      </w:r>
      <w:r w:rsidRPr="00134084">
        <w:rPr>
          <w:b/>
          <w:i/>
        </w:rPr>
        <w:t xml:space="preserve"> </w:t>
      </w:r>
      <w:proofErr w:type="gramStart"/>
      <w:r w:rsidRPr="00134084">
        <w:t>Показатели  в отчете отражены в разрезе данных консолидированного бюджета субъекта Российской Федерации и бюджета территориального государственного внебюджетного фонда (графы 4, 17), консолидированного бюджета субъекта Российской Федерации (графы 6, 19), бюджетов городских округов (графы 10, 23) в соответствии с п.205 Инструкции № 191н.</w:t>
      </w:r>
      <w:proofErr w:type="gramEnd"/>
    </w:p>
    <w:p w:rsidR="00415173" w:rsidRPr="00134084" w:rsidRDefault="00415173" w:rsidP="00415173">
      <w:pPr>
        <w:jc w:val="both"/>
        <w:rPr>
          <w:color w:val="000000"/>
          <w:shd w:val="clear" w:color="auto" w:fill="FFFFFF"/>
        </w:rPr>
      </w:pPr>
      <w:r w:rsidRPr="00134084">
        <w:t xml:space="preserve">Отчет об исполнении бюджета содержит данные об исполнении бюджета муниципального образования «город Тулун» по доходам, расходам и источникам финансирования дефицита бюджета в соответствии с бюджетной классификацией РФ. </w:t>
      </w:r>
      <w:proofErr w:type="gramStart"/>
      <w:r w:rsidRPr="00134084">
        <w:rPr>
          <w:color w:val="000000"/>
          <w:shd w:val="clear" w:color="auto" w:fill="FFFFFF"/>
        </w:rPr>
        <w:t xml:space="preserve">Объем бюджетных назначений соответствует объему, утвержденному решением Думы городского округа </w:t>
      </w:r>
      <w:r w:rsidRPr="00134084">
        <w:t xml:space="preserve">«О бюджете муниципального образования – «город Тулун» на 2019 год и на плановый период 2020-2021 годов» </w:t>
      </w:r>
      <w:r w:rsidRPr="00134084">
        <w:rPr>
          <w:color w:val="000000"/>
          <w:shd w:val="clear" w:color="auto" w:fill="FFFFFF"/>
        </w:rPr>
        <w:t>от 27.12.2018г. № 30-ДГО с последними изменениями, внесенными решением Думы городского округа о бюджете  от 26.12.2019г. № 30-ДГО и распоряжениями председателя Комитета по финансам администрации городского округа от 26.12.2019г №214, от 27.12.2019г № 217</w:t>
      </w:r>
      <w:proofErr w:type="gramEnd"/>
      <w:r w:rsidRPr="00134084">
        <w:rPr>
          <w:color w:val="000000"/>
          <w:shd w:val="clear" w:color="auto" w:fill="FFFFFF"/>
        </w:rPr>
        <w:t xml:space="preserve">, от 27.12.2019г №219, от  30.12.2019г №225, от 30.12.2019г №227 «О внесении изменений в сводную бюджетную роспись и свод лимитов бюджетных обязательств муниципального образования – «город Тулун» на 2019 год и на плановый период 2020 и 2021 годов». </w:t>
      </w:r>
    </w:p>
    <w:p w:rsidR="00415173" w:rsidRPr="00134084" w:rsidRDefault="00415173" w:rsidP="00415173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134084">
        <w:rPr>
          <w:color w:val="000000"/>
          <w:shd w:val="clear" w:color="auto" w:fill="FFFFFF"/>
        </w:rPr>
        <w:t xml:space="preserve">В соответствии с п.п.3,8 ст.217 Бюджетного Кодекса Российской Федерации,  п. 23 решения Думы городского округа </w:t>
      </w:r>
      <w:r w:rsidRPr="00134084">
        <w:t xml:space="preserve">«О бюджете муниципального образования – «город Тулун» на 2019 год и на плановый период 2020-2021 годов» </w:t>
      </w:r>
      <w:r w:rsidRPr="00134084">
        <w:rPr>
          <w:color w:val="000000"/>
          <w:shd w:val="clear" w:color="auto" w:fill="FFFFFF"/>
        </w:rPr>
        <w:t>от 27.12.2018г. № 30-ДГО в декабре 2019г распоряжениями председателя Комитета по финансам администрации городского округа внесены изменения в сводную бюджетную роспись на 2019 год и  на плановый</w:t>
      </w:r>
      <w:proofErr w:type="gramEnd"/>
      <w:r w:rsidRPr="00134084">
        <w:rPr>
          <w:color w:val="000000"/>
          <w:shd w:val="clear" w:color="auto" w:fill="FFFFFF"/>
        </w:rPr>
        <w:t xml:space="preserve"> период 2020 и 2021 годов, без внесения изменений в решение о бюджете</w:t>
      </w:r>
      <w:r w:rsidRPr="00134084">
        <w:t xml:space="preserve">. </w:t>
      </w:r>
      <w:proofErr w:type="gramStart"/>
      <w:r w:rsidRPr="00134084">
        <w:t xml:space="preserve">Основаниями для внесения изменений в сводную бюджетную роспись являлись поступившие уведомления Министерства финансов Иркутской области о предоставлении (сокращении) субсидии, субвенции, иного межбюджетного трансферта, имеющего целевое назначение и </w:t>
      </w:r>
      <w:r w:rsidRPr="00134084">
        <w:rPr>
          <w:color w:val="000000"/>
          <w:shd w:val="clear" w:color="auto" w:fill="FFFFFF"/>
        </w:rPr>
        <w:t xml:space="preserve">обращений главных распорядителей бюджетных средств   МКУ  «Комитет социальной политики города Тулуна», МУ «Администрация городского округа»  о необходимости финансового обеспечения мероприятий, связанных с ликвидацией последствий чрезвычайных ситуаций. </w:t>
      </w:r>
      <w:r w:rsidRPr="00134084">
        <w:t xml:space="preserve"> </w:t>
      </w:r>
      <w:proofErr w:type="gramEnd"/>
    </w:p>
    <w:p w:rsidR="00415173" w:rsidRPr="00134084" w:rsidRDefault="00415173" w:rsidP="00415173">
      <w:pPr>
        <w:jc w:val="both"/>
        <w:rPr>
          <w:color w:val="000000"/>
          <w:shd w:val="clear" w:color="auto" w:fill="FFFFFF"/>
        </w:rPr>
      </w:pPr>
    </w:p>
    <w:p w:rsidR="00134084" w:rsidRPr="00E71CC0" w:rsidRDefault="00415173" w:rsidP="00E71CC0">
      <w:pPr>
        <w:ind w:firstLine="708"/>
        <w:jc w:val="both"/>
      </w:pPr>
      <w:r w:rsidRPr="00134084">
        <w:rPr>
          <w:color w:val="000000"/>
          <w:shd w:val="clear" w:color="auto" w:fill="FFFFFF"/>
        </w:rPr>
        <w:t xml:space="preserve">Показатели на 1 января 2020 года, отражены в отчете до заключительных операций по закрытию счетов при завершении финансового года, проведенных 31 декабря отчетного финансового года. </w:t>
      </w:r>
      <w:r w:rsidRPr="00134084">
        <w:t xml:space="preserve">Отчет составлен на основании данных по исполнению бюджета главных </w:t>
      </w:r>
      <w:r w:rsidRPr="00134084">
        <w:lastRenderedPageBreak/>
        <w:t xml:space="preserve">администраторов бюджетных средств, в рамках осуществляемой ими бюджетной деятельности. 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415173" w:rsidRPr="00E71CC0" w:rsidRDefault="00415173" w:rsidP="00415173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  <w:r w:rsidRPr="00E71CC0">
        <w:rPr>
          <w:i/>
        </w:rPr>
        <w:t>Отчет об использовании межбюджетных трансфертов из федерального бюджета муниципальными образованиями  и территориальным государственным внебюджетным фондом (ф.0503324)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15173" w:rsidRPr="00134084" w:rsidRDefault="00415173" w:rsidP="00415173">
      <w:pPr>
        <w:widowControl w:val="0"/>
        <w:autoSpaceDE w:val="0"/>
        <w:autoSpaceDN w:val="0"/>
        <w:adjustRightInd w:val="0"/>
        <w:ind w:firstLine="540"/>
        <w:jc w:val="both"/>
      </w:pPr>
      <w:r w:rsidRPr="00134084">
        <w:t xml:space="preserve">Остаток целевых средств на начало отчетного года составил 102,0 тыс. руб. В 2019 году поступило целевых средств 30 190,4 </w:t>
      </w:r>
      <w:proofErr w:type="spellStart"/>
      <w:r w:rsidRPr="00134084">
        <w:t>тыс</w:t>
      </w:r>
      <w:proofErr w:type="gramStart"/>
      <w:r w:rsidRPr="00134084">
        <w:t>.р</w:t>
      </w:r>
      <w:proofErr w:type="gramEnd"/>
      <w:r w:rsidRPr="00134084">
        <w:t>уб</w:t>
      </w:r>
      <w:proofErr w:type="spellEnd"/>
      <w:r w:rsidRPr="00134084">
        <w:t xml:space="preserve">.,  израсходовано 30 187,1 </w:t>
      </w:r>
      <w:proofErr w:type="spellStart"/>
      <w:r w:rsidRPr="00134084">
        <w:t>тыс</w:t>
      </w:r>
      <w:proofErr w:type="spellEnd"/>
      <w:r w:rsidRPr="00134084">
        <w:t xml:space="preserve"> </w:t>
      </w:r>
      <w:proofErr w:type="spellStart"/>
      <w:r w:rsidRPr="00134084">
        <w:t>руб</w:t>
      </w:r>
      <w:proofErr w:type="spellEnd"/>
      <w:r w:rsidRPr="00134084">
        <w:t xml:space="preserve">, восстановлено остатков </w:t>
      </w:r>
      <w:r w:rsidRPr="00134084">
        <w:rPr>
          <w:color w:val="000000"/>
        </w:rPr>
        <w:t xml:space="preserve">межбюджетного трансферта прошлых лет 151,3 </w:t>
      </w:r>
      <w:proofErr w:type="spellStart"/>
      <w:r w:rsidRPr="00134084">
        <w:rPr>
          <w:color w:val="000000"/>
        </w:rPr>
        <w:t>тыс.руб</w:t>
      </w:r>
      <w:proofErr w:type="spellEnd"/>
      <w:r w:rsidRPr="00134084">
        <w:rPr>
          <w:color w:val="000000"/>
        </w:rPr>
        <w:t xml:space="preserve">., возвращено неиспользованных остатков прошлых лет в федеральный бюджет 253,3  </w:t>
      </w:r>
      <w:proofErr w:type="spellStart"/>
      <w:r w:rsidRPr="00134084">
        <w:rPr>
          <w:color w:val="000000"/>
        </w:rPr>
        <w:t>тыс.руб</w:t>
      </w:r>
      <w:proofErr w:type="spellEnd"/>
      <w:r w:rsidRPr="00134084">
        <w:rPr>
          <w:color w:val="000000"/>
        </w:rPr>
        <w:t xml:space="preserve">. </w:t>
      </w:r>
      <w:r w:rsidRPr="00134084">
        <w:t xml:space="preserve">Остаток целевых средств на конец отчетного  года составил 3,4 </w:t>
      </w:r>
      <w:proofErr w:type="spellStart"/>
      <w:r w:rsidRPr="00134084">
        <w:t>тыс</w:t>
      </w:r>
      <w:proofErr w:type="spellEnd"/>
      <w:r w:rsidRPr="00134084">
        <w:t xml:space="preserve"> руб.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15173" w:rsidRPr="00E71CC0" w:rsidRDefault="00415173" w:rsidP="004151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71CC0">
        <w:rPr>
          <w:i/>
        </w:rPr>
        <w:t>Справка по консолидируемым расчетам (ф. </w:t>
      </w:r>
      <w:r w:rsidRPr="00E71CC0">
        <w:rPr>
          <w:bCs/>
          <w:i/>
        </w:rPr>
        <w:t>0503125</w:t>
      </w:r>
      <w:r w:rsidRPr="00E71CC0">
        <w:rPr>
          <w:i/>
        </w:rPr>
        <w:t>)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415173" w:rsidRPr="00134084" w:rsidRDefault="00415173" w:rsidP="00415173">
      <w:pPr>
        <w:pStyle w:val="af1"/>
        <w:jc w:val="both"/>
      </w:pPr>
      <w:r w:rsidRPr="00134084">
        <w:t xml:space="preserve">Справка </w:t>
      </w:r>
      <w:r w:rsidRPr="00134084">
        <w:rPr>
          <w:color w:val="000000"/>
          <w:shd w:val="clear" w:color="auto" w:fill="FFFFFF"/>
        </w:rPr>
        <w:t>составлена в соответствии с п.23-42 Инструкции № 191н на основании представленных главными администраторами бюджетных средств, справок ф.0503125 путем суммирования одноименных показателей в разрезе кодов элементов бюджета, кодов</w:t>
      </w:r>
      <w:r w:rsidRPr="00134084">
        <w:rPr>
          <w:rStyle w:val="apple-converted-space"/>
          <w:color w:val="000000"/>
          <w:spacing w:val="1"/>
          <w:shd w:val="clear" w:color="auto" w:fill="FFFFFF"/>
        </w:rPr>
        <w:t> </w:t>
      </w:r>
      <w:hyperlink r:id="rId13" w:history="1">
        <w:r w:rsidRPr="00134084">
          <w:rPr>
            <w:rStyle w:val="aa"/>
            <w:color w:val="000000"/>
            <w:spacing w:val="1"/>
            <w:shd w:val="clear" w:color="auto" w:fill="FFFFFF"/>
          </w:rPr>
          <w:t>ОКТМО</w:t>
        </w:r>
      </w:hyperlink>
      <w:r w:rsidRPr="00134084">
        <w:rPr>
          <w:rStyle w:val="aa"/>
          <w:color w:val="000000"/>
          <w:spacing w:val="1"/>
          <w:shd w:val="clear" w:color="auto" w:fill="FFFFFF"/>
        </w:rPr>
        <w:t xml:space="preserve"> </w:t>
      </w:r>
      <w:r w:rsidRPr="00134084">
        <w:rPr>
          <w:color w:val="000000"/>
          <w:shd w:val="clear" w:color="auto" w:fill="FFFFFF"/>
        </w:rPr>
        <w:t xml:space="preserve">и номера счета в целях </w:t>
      </w:r>
      <w:r w:rsidRPr="00134084">
        <w:rPr>
          <w:color w:val="2D2D2D"/>
          <w:shd w:val="clear" w:color="auto" w:fill="FFFFFF"/>
        </w:rPr>
        <w:t xml:space="preserve">определения взаимосвязанных показателей, подлежащих исключению. </w:t>
      </w:r>
      <w:r w:rsidRPr="00134084">
        <w:t>Показатели в справке  на 1 января 2020 года отражены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  <w:r w:rsidRPr="00134084">
        <w:rPr>
          <w:rStyle w:val="apple-converted-space"/>
          <w:color w:val="000000"/>
          <w:spacing w:val="1"/>
          <w:shd w:val="clear" w:color="auto" w:fill="FFFFFF"/>
        </w:rPr>
        <w:t xml:space="preserve"> </w:t>
      </w:r>
      <w:r w:rsidRPr="00134084">
        <w:t>В составе форм годового отчета об исполнении бюджета предоставлены справки по счетам:</w:t>
      </w:r>
    </w:p>
    <w:p w:rsidR="00415173" w:rsidRPr="00134084" w:rsidRDefault="00415173" w:rsidP="00823445">
      <w:pPr>
        <w:pStyle w:val="af1"/>
        <w:jc w:val="both"/>
      </w:pPr>
      <w:r w:rsidRPr="00134084">
        <w:t>120551000, 120551561, 120551661, 120561000, 120561561, 120561661, 130111710, 130111810, 140110151, 140110161, 0140110191, 140410195, 140120251, 140140151, 140140161.</w:t>
      </w:r>
    </w:p>
    <w:p w:rsidR="000E1685" w:rsidRPr="00134084" w:rsidRDefault="000E1685" w:rsidP="00612618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</w:p>
    <w:p w:rsidR="00415173" w:rsidRPr="00E71CC0" w:rsidRDefault="00415173" w:rsidP="00415173">
      <w:pPr>
        <w:pStyle w:val="af1"/>
        <w:jc w:val="center"/>
        <w:rPr>
          <w:i/>
          <w:spacing w:val="2"/>
        </w:rPr>
      </w:pPr>
      <w:r w:rsidRPr="00E71CC0">
        <w:rPr>
          <w:i/>
        </w:rPr>
        <w:t>Пояснительная  записка к отчету об исполнении консолидированного бюджета (ф.0503360)</w:t>
      </w:r>
    </w:p>
    <w:p w:rsidR="00415173" w:rsidRPr="00134084" w:rsidRDefault="00415173" w:rsidP="00415173">
      <w:pPr>
        <w:jc w:val="both"/>
        <w:rPr>
          <w:rFonts w:eastAsia="Calibri"/>
          <w:spacing w:val="2"/>
        </w:rPr>
      </w:pPr>
    </w:p>
    <w:p w:rsidR="00415173" w:rsidRPr="00134084" w:rsidRDefault="00415173" w:rsidP="00415173">
      <w:pPr>
        <w:widowControl w:val="0"/>
        <w:autoSpaceDE w:val="0"/>
        <w:autoSpaceDN w:val="0"/>
        <w:adjustRightInd w:val="0"/>
        <w:jc w:val="both"/>
      </w:pPr>
      <w:r w:rsidRPr="00134084">
        <w:t>Пояснительная записка составлена с учетом установленных требований п.217 Инструкции № 191н. Текстовая часть пояснительной записки содержит разделы, предусмотренные п.152 Инструкции № 191н, отражает информацию, характеризующую исполнение консолидированного бюджета, не отраженную в приложениях, включаемых в пояснительную записку, подробно  раскрывает аналитику показателей годового отчета об исполнении бюджета.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jc w:val="both"/>
      </w:pPr>
      <w:r w:rsidRPr="00134084">
        <w:t xml:space="preserve"> Пояснительная записка содержит сводную информацию, основанную на показателях бюджетной отчетности главных адм</w:t>
      </w:r>
      <w:r w:rsidR="005A5489">
        <w:t>инистраторов бюджетных средств.</w:t>
      </w:r>
    </w:p>
    <w:p w:rsidR="00415173" w:rsidRPr="00134084" w:rsidRDefault="00415173" w:rsidP="005A5489">
      <w:pPr>
        <w:ind w:firstLine="708"/>
        <w:jc w:val="both"/>
        <w:rPr>
          <w:color w:val="000000"/>
          <w:shd w:val="clear" w:color="auto" w:fill="FFFFFF"/>
        </w:rPr>
      </w:pPr>
      <w:r w:rsidRPr="005A5489">
        <w:rPr>
          <w:color w:val="000000"/>
          <w:shd w:val="clear" w:color="auto" w:fill="FFFFFF"/>
        </w:rPr>
        <w:t xml:space="preserve">В </w:t>
      </w:r>
      <w:r w:rsidRPr="005A5489">
        <w:t xml:space="preserve">разделе 3 «Анализ отчета об исполнении бюджета субъекта бюджетной отчетности» Пояснительной записки </w:t>
      </w:r>
      <w:r w:rsidRPr="005A5489">
        <w:rPr>
          <w:b/>
          <w:i/>
        </w:rPr>
        <w:t>не отражена информация</w:t>
      </w:r>
      <w:r w:rsidRPr="005A5489">
        <w:t xml:space="preserve"> о  </w:t>
      </w:r>
      <w:r w:rsidRPr="005A5489">
        <w:rPr>
          <w:color w:val="000000"/>
          <w:shd w:val="clear" w:color="auto" w:fill="FFFFFF"/>
        </w:rPr>
        <w:t>внесении изменений в сводную бюджетную роспись на 2019 год и  на плановый период 2020 и 2021 годов распоряжениями председателя Комитета по финансам администрации городского округа, без внесения изменений в решение о бюджете</w:t>
      </w:r>
      <w:r w:rsidR="005A5489">
        <w:rPr>
          <w:color w:val="000000"/>
          <w:shd w:val="clear" w:color="auto" w:fill="FFFFFF"/>
        </w:rPr>
        <w:t>.</w:t>
      </w:r>
      <w:r w:rsidRPr="00134084">
        <w:rPr>
          <w:color w:val="000000"/>
          <w:shd w:val="clear" w:color="auto" w:fill="FFFFFF"/>
        </w:rPr>
        <w:tab/>
        <w:t xml:space="preserve"> </w:t>
      </w:r>
    </w:p>
    <w:p w:rsidR="00415173" w:rsidRPr="00134084" w:rsidRDefault="005A5489" w:rsidP="004151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15173" w:rsidRPr="00134084">
        <w:rPr>
          <w:color w:val="000000"/>
        </w:rPr>
        <w:t>Пояснительная записка   в соответствии с п. 217,218 Инструкции № 191н представлена в составе следующих приложений:</w:t>
      </w:r>
    </w:p>
    <w:p w:rsidR="00415173" w:rsidRPr="00134084" w:rsidRDefault="00415173" w:rsidP="00CA7306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hd w:val="clear" w:color="auto" w:fill="FFFFFF"/>
        </w:rPr>
      </w:pPr>
      <w:r w:rsidRPr="00134084">
        <w:rPr>
          <w:color w:val="2D2D2D"/>
          <w:spacing w:val="2"/>
          <w:shd w:val="clear" w:color="auto" w:fill="FFFFFF"/>
        </w:rPr>
        <w:t xml:space="preserve">- </w:t>
      </w:r>
      <w:r w:rsidRPr="00134084">
        <w:rPr>
          <w:color w:val="000000"/>
          <w:spacing w:val="2"/>
          <w:shd w:val="clear" w:color="auto" w:fill="FFFFFF"/>
        </w:rPr>
        <w:t>сведения о вложениях в объекты недвижимого имущества, объектах незавершенного строительства</w:t>
      </w:r>
      <w:r w:rsidR="00CA7306" w:rsidRPr="00134084">
        <w:rPr>
          <w:color w:val="2D2D2D"/>
          <w:spacing w:val="2"/>
          <w:shd w:val="clear" w:color="auto" w:fill="FFFFFF"/>
        </w:rPr>
        <w:t xml:space="preserve"> (ф.0503190);</w:t>
      </w:r>
    </w:p>
    <w:p w:rsidR="00CA7306" w:rsidRPr="00134084" w:rsidRDefault="00415173" w:rsidP="004151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34084">
        <w:rPr>
          <w:color w:val="000000"/>
        </w:rPr>
        <w:t xml:space="preserve">- сведения </w:t>
      </w:r>
      <w:r w:rsidRPr="00134084">
        <w:t xml:space="preserve">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</w:t>
      </w:r>
      <w:hyperlink r:id="rId14" w:history="1">
        <w:r w:rsidRPr="00134084">
          <w:rPr>
            <w:rStyle w:val="aa"/>
            <w:color w:val="000000"/>
          </w:rPr>
          <w:t>(ф. 0503361)</w:t>
        </w:r>
      </w:hyperlink>
      <w:r w:rsidR="00CA7306" w:rsidRPr="00134084">
        <w:rPr>
          <w:color w:val="000000"/>
        </w:rPr>
        <w:t>;</w:t>
      </w:r>
      <w:r w:rsidRPr="00134084">
        <w:rPr>
          <w:color w:val="000000"/>
        </w:rPr>
        <w:t xml:space="preserve"> </w:t>
      </w:r>
    </w:p>
    <w:p w:rsidR="00CA7306" w:rsidRPr="00134084" w:rsidRDefault="00415173" w:rsidP="00415173">
      <w:pPr>
        <w:widowControl w:val="0"/>
        <w:autoSpaceDE w:val="0"/>
        <w:autoSpaceDN w:val="0"/>
        <w:adjustRightInd w:val="0"/>
        <w:jc w:val="both"/>
      </w:pPr>
      <w:r w:rsidRPr="00134084">
        <w:rPr>
          <w:color w:val="000000"/>
        </w:rPr>
        <w:t xml:space="preserve">- сведения об исполнении консолидированного бюджета </w:t>
      </w:r>
      <w:hyperlink r:id="rId15" w:history="1">
        <w:r w:rsidRPr="00134084">
          <w:rPr>
            <w:rStyle w:val="aa"/>
            <w:color w:val="000000"/>
          </w:rPr>
          <w:t>(ф. 0503364)</w:t>
        </w:r>
      </w:hyperlink>
      <w:r w:rsidR="00CA7306" w:rsidRPr="00134084">
        <w:t>;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34084">
        <w:rPr>
          <w:color w:val="000000"/>
        </w:rPr>
        <w:t xml:space="preserve">- сведения о движении нефинансовых активов консолидированного бюджета </w:t>
      </w:r>
      <w:hyperlink r:id="rId16" w:history="1">
        <w:r w:rsidRPr="00134084">
          <w:rPr>
            <w:rStyle w:val="aa"/>
            <w:color w:val="000000"/>
          </w:rPr>
          <w:t>(ф. 0503368)</w:t>
        </w:r>
      </w:hyperlink>
      <w:r w:rsidR="00CA7306" w:rsidRPr="00134084">
        <w:rPr>
          <w:color w:val="000000"/>
        </w:rPr>
        <w:t>;</w:t>
      </w:r>
      <w:r w:rsidRPr="00134084">
        <w:rPr>
          <w:color w:val="000000"/>
        </w:rPr>
        <w:t xml:space="preserve"> </w:t>
      </w:r>
    </w:p>
    <w:p w:rsidR="00415173" w:rsidRPr="00134084" w:rsidRDefault="00415173" w:rsidP="00CA7306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34084">
        <w:rPr>
          <w:color w:val="000000"/>
        </w:rPr>
        <w:t xml:space="preserve">- сведения по дебиторской и кредиторской задолженности </w:t>
      </w:r>
      <w:hyperlink r:id="rId17" w:history="1">
        <w:r w:rsidRPr="00134084">
          <w:rPr>
            <w:rStyle w:val="aa"/>
            <w:color w:val="000000"/>
          </w:rPr>
          <w:t>(ф. 0503369)</w:t>
        </w:r>
      </w:hyperlink>
      <w:r w:rsidR="00CA7306" w:rsidRPr="00134084">
        <w:rPr>
          <w:color w:val="000000"/>
        </w:rPr>
        <w:t>;</w:t>
      </w:r>
      <w:r w:rsidRPr="00134084">
        <w:rPr>
          <w:color w:val="000000"/>
        </w:rPr>
        <w:t xml:space="preserve"> 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34084">
        <w:rPr>
          <w:color w:val="000000"/>
        </w:rPr>
        <w:t>-</w:t>
      </w:r>
      <w:r w:rsidR="00CA7306" w:rsidRPr="00134084">
        <w:rPr>
          <w:color w:val="000000"/>
        </w:rPr>
        <w:t xml:space="preserve"> </w:t>
      </w:r>
      <w:r w:rsidRPr="00134084">
        <w:rPr>
          <w:color w:val="000000"/>
        </w:rPr>
        <w:t xml:space="preserve">сведения о финансовых вложениях </w:t>
      </w:r>
      <w:hyperlink r:id="rId18" w:history="1">
        <w:r w:rsidRPr="00134084">
          <w:rPr>
            <w:rStyle w:val="aa"/>
            <w:color w:val="000000"/>
          </w:rPr>
          <w:t>(ф. 0503371)</w:t>
        </w:r>
      </w:hyperlink>
      <w:r w:rsidR="00CA7306" w:rsidRPr="00134084">
        <w:rPr>
          <w:color w:val="000000"/>
        </w:rPr>
        <w:t>;</w:t>
      </w:r>
      <w:r w:rsidRPr="00134084">
        <w:rPr>
          <w:color w:val="000000"/>
        </w:rPr>
        <w:t xml:space="preserve">  </w:t>
      </w:r>
    </w:p>
    <w:p w:rsidR="00415173" w:rsidRPr="00134084" w:rsidRDefault="00415173" w:rsidP="00415173">
      <w:pPr>
        <w:jc w:val="both"/>
      </w:pPr>
      <w:r w:rsidRPr="00134084">
        <w:rPr>
          <w:color w:val="000000"/>
        </w:rPr>
        <w:lastRenderedPageBreak/>
        <w:t>- сведения о государственном (муниципальном) долге,</w:t>
      </w:r>
      <w:r w:rsidRPr="00134084">
        <w:t xml:space="preserve"> предоставленных бюджетных кредитах  консолидированного бюджета </w:t>
      </w:r>
      <w:hyperlink r:id="rId19" w:history="1">
        <w:r w:rsidRPr="00134084">
          <w:rPr>
            <w:rStyle w:val="aa"/>
            <w:color w:val="000000"/>
          </w:rPr>
          <w:t>(ф. 0503372)</w:t>
        </w:r>
      </w:hyperlink>
      <w:r w:rsidR="00CA7306" w:rsidRPr="00134084">
        <w:rPr>
          <w:color w:val="000000"/>
        </w:rPr>
        <w:t>;</w:t>
      </w:r>
      <w:r w:rsidRPr="00134084">
        <w:rPr>
          <w:color w:val="000000"/>
        </w:rPr>
        <w:t xml:space="preserve"> </w:t>
      </w:r>
    </w:p>
    <w:p w:rsidR="00415173" w:rsidRPr="00134084" w:rsidRDefault="00415173" w:rsidP="00415173">
      <w:pPr>
        <w:jc w:val="both"/>
      </w:pPr>
      <w:r w:rsidRPr="00134084">
        <w:t>- сведения об изменении остатков валюты баланса консоли</w:t>
      </w:r>
      <w:r w:rsidR="00CA7306" w:rsidRPr="00134084">
        <w:t>дированного бюджета (ф.0503373);</w:t>
      </w:r>
      <w:r w:rsidRPr="00134084">
        <w:t xml:space="preserve"> </w:t>
      </w:r>
    </w:p>
    <w:p w:rsidR="00415173" w:rsidRPr="00134084" w:rsidRDefault="00415173" w:rsidP="00415173">
      <w:pPr>
        <w:jc w:val="both"/>
        <w:rPr>
          <w:color w:val="000000"/>
          <w:shd w:val="clear" w:color="auto" w:fill="FFFFFF"/>
        </w:rPr>
      </w:pPr>
      <w:r w:rsidRPr="00134084">
        <w:rPr>
          <w:color w:val="000000"/>
        </w:rPr>
        <w:t xml:space="preserve">- сведения </w:t>
      </w:r>
      <w:r w:rsidRPr="00134084">
        <w:t xml:space="preserve">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r w:rsidRPr="00134084">
        <w:rPr>
          <w:color w:val="000000"/>
        </w:rPr>
        <w:t xml:space="preserve">(ф.0503374). </w:t>
      </w:r>
    </w:p>
    <w:p w:rsidR="00415173" w:rsidRPr="00134084" w:rsidRDefault="00415173" w:rsidP="00415173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134084" w:rsidRDefault="005A5489" w:rsidP="00134084">
      <w:pPr>
        <w:ind w:firstLine="284"/>
        <w:jc w:val="both"/>
      </w:pPr>
      <w:r>
        <w:t xml:space="preserve">    </w:t>
      </w:r>
      <w:r w:rsidR="00134084" w:rsidRPr="00134084">
        <w:t xml:space="preserve">По результатам внешней проверки годового отчета об исполнении бюджета за 2019 год, проведенной КСП города Тулуна, составлено 4 заключения по результатам внешней </w:t>
      </w:r>
      <w:proofErr w:type="gramStart"/>
      <w:r w:rsidR="00134084" w:rsidRPr="00134084">
        <w:t>проверки годовой бюджетной отчетности главных администраторов средств местного бюджета</w:t>
      </w:r>
      <w:proofErr w:type="gramEnd"/>
      <w:r w:rsidR="00134084" w:rsidRPr="00134084">
        <w:t xml:space="preserve"> и подготовлено 1 заключение по результатам внешней проверки годового  отчета об исполнении бюджета муниципального образования – «город Тулун».</w:t>
      </w:r>
    </w:p>
    <w:p w:rsidR="00C014A5" w:rsidRDefault="00C014A5" w:rsidP="00415173">
      <w:pPr>
        <w:autoSpaceDE w:val="0"/>
        <w:autoSpaceDN w:val="0"/>
        <w:adjustRightInd w:val="0"/>
        <w:jc w:val="both"/>
      </w:pPr>
    </w:p>
    <w:p w:rsidR="00324DC9" w:rsidRPr="00CA7306" w:rsidRDefault="00324DC9" w:rsidP="00415173">
      <w:pPr>
        <w:autoSpaceDE w:val="0"/>
        <w:autoSpaceDN w:val="0"/>
        <w:adjustRightInd w:val="0"/>
        <w:jc w:val="both"/>
      </w:pPr>
    </w:p>
    <w:p w:rsidR="00686F20" w:rsidRDefault="00686F20" w:rsidP="0091513C">
      <w:pPr>
        <w:jc w:val="both"/>
      </w:pPr>
    </w:p>
    <w:p w:rsidR="008C10AB" w:rsidRPr="00956346" w:rsidRDefault="00956346" w:rsidP="008C10AB">
      <w:pPr>
        <w:pStyle w:val="a3"/>
        <w:ind w:left="284" w:firstLine="436"/>
        <w:jc w:val="both"/>
        <w:rPr>
          <w:b/>
          <w:sz w:val="26"/>
          <w:szCs w:val="26"/>
        </w:rPr>
      </w:pPr>
      <w:r w:rsidRPr="00956346">
        <w:rPr>
          <w:b/>
          <w:sz w:val="26"/>
          <w:szCs w:val="26"/>
        </w:rPr>
        <w:t>4.</w:t>
      </w:r>
      <w:r w:rsidR="00811B6F" w:rsidRPr="00956346">
        <w:rPr>
          <w:b/>
          <w:sz w:val="26"/>
          <w:szCs w:val="26"/>
        </w:rPr>
        <w:t>Оценка исполнения бюджета му</w:t>
      </w:r>
      <w:r w:rsidR="00116D74" w:rsidRPr="00956346">
        <w:rPr>
          <w:b/>
          <w:sz w:val="26"/>
          <w:szCs w:val="26"/>
        </w:rPr>
        <w:t>ниципального образования за 2019</w:t>
      </w:r>
      <w:r w:rsidR="00811B6F" w:rsidRPr="00956346">
        <w:rPr>
          <w:b/>
          <w:sz w:val="26"/>
          <w:szCs w:val="26"/>
        </w:rPr>
        <w:t xml:space="preserve"> год</w:t>
      </w:r>
    </w:p>
    <w:p w:rsidR="00415173" w:rsidRPr="00956346" w:rsidRDefault="00415173" w:rsidP="008C10AB">
      <w:pPr>
        <w:pStyle w:val="a3"/>
        <w:ind w:left="284" w:firstLine="436"/>
        <w:jc w:val="both"/>
        <w:rPr>
          <w:b/>
          <w:sz w:val="27"/>
          <w:szCs w:val="27"/>
        </w:rPr>
      </w:pPr>
    </w:p>
    <w:p w:rsidR="00092AB2" w:rsidRPr="004A52EC" w:rsidRDefault="005A5489" w:rsidP="004A52EC">
      <w:pPr>
        <w:jc w:val="both"/>
        <w:rPr>
          <w:color w:val="000000"/>
          <w:shd w:val="clear" w:color="auto" w:fill="FFFFFF"/>
        </w:rPr>
      </w:pPr>
      <w:r>
        <w:t xml:space="preserve">        </w:t>
      </w:r>
      <w:proofErr w:type="gramStart"/>
      <w:r w:rsidR="00092AB2" w:rsidRPr="00A57033">
        <w:t>Бюджет муниципального образования – «город Тулун» на 201</w:t>
      </w:r>
      <w:r w:rsidR="00116D74">
        <w:t>9</w:t>
      </w:r>
      <w:r w:rsidR="00092AB2" w:rsidRPr="00A57033">
        <w:t xml:space="preserve"> год </w:t>
      </w:r>
      <w:r w:rsidR="00116D74">
        <w:t>и на плановый период 2020 и 2021</w:t>
      </w:r>
      <w:r w:rsidR="0078713A" w:rsidRPr="00A57033">
        <w:t xml:space="preserve"> годов </w:t>
      </w:r>
      <w:r w:rsidR="00092AB2" w:rsidRPr="00A57033">
        <w:t xml:space="preserve">утвержден решением Думы </w:t>
      </w:r>
      <w:r w:rsidR="0078713A" w:rsidRPr="00A57033">
        <w:t>городского округа</w:t>
      </w:r>
      <w:r w:rsidR="00092AB2" w:rsidRPr="00A57033">
        <w:t xml:space="preserve"> </w:t>
      </w:r>
      <w:r w:rsidR="004A52EC" w:rsidRPr="003418A3">
        <w:rPr>
          <w:color w:val="000000"/>
          <w:shd w:val="clear" w:color="auto" w:fill="FFFFFF"/>
        </w:rPr>
        <w:t>от 27.12.2018г.</w:t>
      </w:r>
      <w:r>
        <w:rPr>
          <w:color w:val="000000"/>
          <w:shd w:val="clear" w:color="auto" w:fill="FFFFFF"/>
        </w:rPr>
        <w:t xml:space="preserve">    </w:t>
      </w:r>
      <w:r w:rsidR="004A52EC" w:rsidRPr="003418A3">
        <w:rPr>
          <w:color w:val="000000"/>
          <w:shd w:val="clear" w:color="auto" w:fill="FFFFFF"/>
        </w:rPr>
        <w:t xml:space="preserve"> № 30-ДГО с последними изменениями, внесенными решением Д</w:t>
      </w:r>
      <w:r>
        <w:rPr>
          <w:color w:val="000000"/>
          <w:shd w:val="clear" w:color="auto" w:fill="FFFFFF"/>
        </w:rPr>
        <w:t>умы городского округа о бюджете</w:t>
      </w:r>
      <w:r w:rsidR="004A52EC" w:rsidRPr="003418A3">
        <w:rPr>
          <w:color w:val="000000"/>
          <w:shd w:val="clear" w:color="auto" w:fill="FFFFFF"/>
        </w:rPr>
        <w:t xml:space="preserve"> от 26.12.2019г. № 30-ДГО и распоряжениями председателя Комитета по финансам администрации городского округа от 26.12.2019г №214, от 27.12.2019г № 217, от 27.12.2019г №219</w:t>
      </w:r>
      <w:proofErr w:type="gramEnd"/>
      <w:r w:rsidR="004A52EC" w:rsidRPr="003418A3">
        <w:rPr>
          <w:color w:val="000000"/>
          <w:shd w:val="clear" w:color="auto" w:fill="FFFFFF"/>
        </w:rPr>
        <w:t>, от  30.12.2019г №225, от 30.12.2019г №227</w:t>
      </w:r>
      <w:r w:rsidR="004A52EC">
        <w:rPr>
          <w:color w:val="000000"/>
          <w:shd w:val="clear" w:color="auto" w:fill="FFFFFF"/>
        </w:rPr>
        <w:t xml:space="preserve"> «О внесении изменений в сводную бюджетную роспись и свод лимитов бюджетных обязательств муниципального образования – «город Тулун» на 2019 год и на плановый период 2020 и 2021 годов»</w:t>
      </w:r>
      <w:r w:rsidR="008356F9">
        <w:t xml:space="preserve"> </w:t>
      </w:r>
      <w:r w:rsidR="004A52EC">
        <w:t>(далее – Решение о бюджете от 27.12.201</w:t>
      </w:r>
      <w:r w:rsidR="00350DDD">
        <w:t>8</w:t>
      </w:r>
      <w:r w:rsidR="008356F9">
        <w:t>г</w:t>
      </w:r>
      <w:r w:rsidR="004A52EC">
        <w:t>. № 30</w:t>
      </w:r>
      <w:r w:rsidR="008356F9">
        <w:t>-ДГО)</w:t>
      </w:r>
      <w:r w:rsidR="00092AB2" w:rsidRPr="00A57033">
        <w:t>.</w:t>
      </w:r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 xml:space="preserve">Отчет об исполнении бюджета муниципального </w:t>
      </w:r>
      <w:r w:rsidR="00B01CBE">
        <w:t xml:space="preserve">образования – «город Тулун» за </w:t>
      </w:r>
      <w:r w:rsidRPr="00A57033">
        <w:t>201</w:t>
      </w:r>
      <w:r w:rsidR="004A52EC">
        <w:t>9</w:t>
      </w:r>
      <w:r w:rsidR="004D5ECD">
        <w:t xml:space="preserve"> год (далее – Отчет) </w:t>
      </w:r>
      <w:r w:rsidRPr="00A57033">
        <w:t xml:space="preserve"> </w:t>
      </w:r>
      <w:r w:rsidR="00C75177">
        <w:t>представлен Администрацией</w:t>
      </w:r>
      <w:r w:rsidR="00C75177" w:rsidRPr="00A57033">
        <w:t xml:space="preserve"> городского округа </w:t>
      </w:r>
      <w:r w:rsidR="00EB330E">
        <w:t xml:space="preserve"> </w:t>
      </w:r>
      <w:r w:rsidR="00CB758F">
        <w:t>в составе приложений по показателям</w:t>
      </w:r>
      <w:r w:rsidR="00C75177">
        <w:t xml:space="preserve">: 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1) </w:t>
      </w:r>
      <w:r w:rsidR="00CB758F">
        <w:t xml:space="preserve">доходов бюджета </w:t>
      </w:r>
      <w:r w:rsidR="00CB758F" w:rsidRPr="00CB758F">
        <w:t>муниципального образования - «город Тулун»</w:t>
      </w:r>
      <w:r w:rsidR="00CB758F">
        <w:t xml:space="preserve">  по кодам классификации доходов бюджетов за </w:t>
      </w:r>
      <w:r w:rsidR="004A52EC">
        <w:t xml:space="preserve"> 2019</w:t>
      </w:r>
      <w:r w:rsidR="00CB758F">
        <w:t xml:space="preserve"> год</w:t>
      </w:r>
      <w:r w:rsidRPr="00A57033">
        <w:t xml:space="preserve"> (Приложение № 1);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2) </w:t>
      </w:r>
      <w:r w:rsidR="00CB758F">
        <w:t>расходов бюджета</w:t>
      </w:r>
      <w:r w:rsidRPr="00A57033">
        <w:t xml:space="preserve"> </w:t>
      </w:r>
      <w:r w:rsidR="00CB758F" w:rsidRPr="00CB758F">
        <w:t xml:space="preserve">муниципального образования - «город Тулун» </w:t>
      </w:r>
      <w:r w:rsidR="00CB758F">
        <w:t xml:space="preserve"> по ведомств</w:t>
      </w:r>
      <w:r w:rsidR="004A52EC">
        <w:t>енной структуре расходов за 2019</w:t>
      </w:r>
      <w:r w:rsidR="00CB758F">
        <w:t xml:space="preserve"> год </w:t>
      </w:r>
      <w:r w:rsidRPr="00A57033">
        <w:t>(Приложение № 2);</w:t>
      </w:r>
    </w:p>
    <w:p w:rsidR="004A7078" w:rsidRDefault="004A7078" w:rsidP="004A7078">
      <w:pPr>
        <w:pStyle w:val="a3"/>
        <w:ind w:left="0" w:firstLine="709"/>
        <w:jc w:val="both"/>
      </w:pPr>
      <w:r w:rsidRPr="00A57033">
        <w:t xml:space="preserve">3) </w:t>
      </w:r>
      <w:r w:rsidR="00CB758F">
        <w:t xml:space="preserve">расходов </w:t>
      </w:r>
      <w:r w:rsidR="00C75177">
        <w:t xml:space="preserve"> </w:t>
      </w:r>
      <w:r w:rsidR="00CB758F">
        <w:t xml:space="preserve">бюджета </w:t>
      </w:r>
      <w:r w:rsidR="00CB758F" w:rsidRPr="00CB758F">
        <w:t>муниципального образования - «город Тулун»</w:t>
      </w:r>
      <w:r w:rsidR="00CB758F">
        <w:t xml:space="preserve"> по разделам и подразделам классификации расходов бюджетов за </w:t>
      </w:r>
      <w:r w:rsidRPr="00A57033">
        <w:t>201</w:t>
      </w:r>
      <w:r w:rsidR="004A52EC">
        <w:t>9</w:t>
      </w:r>
      <w:r w:rsidRPr="00A57033">
        <w:t xml:space="preserve"> год (Приложение № 3);</w:t>
      </w:r>
    </w:p>
    <w:p w:rsidR="00064D26" w:rsidRDefault="00064D26" w:rsidP="004A7078">
      <w:pPr>
        <w:pStyle w:val="a3"/>
        <w:ind w:left="0" w:firstLine="709"/>
        <w:jc w:val="both"/>
      </w:pPr>
      <w:r>
        <w:t xml:space="preserve">4) расходов бюджета </w:t>
      </w:r>
      <w:r w:rsidRPr="00064D26">
        <w:t>муниципального образования - «город Тулун»</w:t>
      </w:r>
      <w:r>
        <w:t xml:space="preserve"> по муниципальным программам города Тулуна и непрограммным н</w:t>
      </w:r>
      <w:r w:rsidR="004A52EC">
        <w:t>аправлениям деятельности за 2019</w:t>
      </w:r>
      <w:r>
        <w:t xml:space="preserve"> год (Приложение №4);</w:t>
      </w:r>
    </w:p>
    <w:p w:rsidR="00064D26" w:rsidRDefault="00064D26" w:rsidP="004A7078">
      <w:pPr>
        <w:pStyle w:val="a3"/>
        <w:ind w:left="0" w:firstLine="709"/>
        <w:jc w:val="both"/>
      </w:pPr>
      <w:r>
        <w:t xml:space="preserve">5) источников финансирования дефицита бюджета </w:t>
      </w:r>
      <w:r w:rsidRPr="00064D26">
        <w:t>муниципального образования - «город Тулун»</w:t>
      </w:r>
      <w:r>
        <w:t xml:space="preserve"> по кодам классификации источ</w:t>
      </w:r>
      <w:r w:rsidR="004A52EC">
        <w:t>ников дефицитов бюджетов за 2019</w:t>
      </w:r>
      <w:r>
        <w:t xml:space="preserve"> год (Приложение №5).</w:t>
      </w:r>
    </w:p>
    <w:p w:rsidR="00064D26" w:rsidRDefault="00BE454D" w:rsidP="004A7078">
      <w:pPr>
        <w:pStyle w:val="a3"/>
        <w:ind w:left="0" w:firstLine="709"/>
        <w:jc w:val="both"/>
      </w:pPr>
      <w:r>
        <w:t xml:space="preserve">Кроме того в составе Отчета </w:t>
      </w:r>
      <w:proofErr w:type="gramStart"/>
      <w:r>
        <w:t>представлены</w:t>
      </w:r>
      <w:proofErr w:type="gramEnd"/>
      <w:r w:rsidR="00064D26">
        <w:t>:</w:t>
      </w:r>
    </w:p>
    <w:p w:rsidR="00064D26" w:rsidRDefault="00064D26" w:rsidP="004A7078">
      <w:pPr>
        <w:pStyle w:val="a3"/>
        <w:ind w:left="0" w:firstLine="709"/>
        <w:jc w:val="both"/>
      </w:pPr>
      <w:r>
        <w:t>- отчет об использовании ассигнований резервного фонда администрации городского округа муниципального  образования – «город Тулун» за 201</w:t>
      </w:r>
      <w:r w:rsidR="004A52EC">
        <w:t>9</w:t>
      </w:r>
      <w:r>
        <w:t xml:space="preserve"> год (Приложение №6);</w:t>
      </w:r>
    </w:p>
    <w:p w:rsidR="005567B7" w:rsidRDefault="00064D26" w:rsidP="00CF2A1F">
      <w:pPr>
        <w:pStyle w:val="a3"/>
        <w:ind w:left="0" w:firstLine="709"/>
        <w:jc w:val="both"/>
      </w:pPr>
      <w:r>
        <w:t>- отчет об использовании бюджетных ассигнований дорожного фонда муниципального обр</w:t>
      </w:r>
      <w:r w:rsidR="004A52EC">
        <w:t>азования – «город Тулун» за 2019</w:t>
      </w:r>
      <w:r>
        <w:t xml:space="preserve"> год (Приложение №7).</w:t>
      </w:r>
    </w:p>
    <w:p w:rsidR="00CF2A1F" w:rsidRDefault="00CF2A1F" w:rsidP="00CF2A1F">
      <w:pPr>
        <w:pStyle w:val="a3"/>
        <w:ind w:left="0" w:firstLine="709"/>
        <w:jc w:val="both"/>
      </w:pPr>
    </w:p>
    <w:p w:rsidR="00126E81" w:rsidRPr="00A57033" w:rsidRDefault="00126E81" w:rsidP="00CF2A1F">
      <w:pPr>
        <w:pStyle w:val="a3"/>
        <w:ind w:left="0" w:firstLine="709"/>
        <w:jc w:val="both"/>
      </w:pPr>
    </w:p>
    <w:p w:rsidR="00BC2D0C" w:rsidRDefault="0061547B" w:rsidP="006E2DC4">
      <w:pPr>
        <w:pStyle w:val="a3"/>
        <w:ind w:left="0" w:firstLine="720"/>
        <w:jc w:val="both"/>
      </w:pPr>
      <w:r w:rsidRPr="005A5489">
        <w:rPr>
          <w:b/>
          <w:i/>
        </w:rPr>
        <w:t>Анализ исполнения</w:t>
      </w:r>
      <w:r w:rsidR="004F39DA" w:rsidRPr="005A5489">
        <w:rPr>
          <w:b/>
          <w:i/>
        </w:rPr>
        <w:t xml:space="preserve"> общих параметров местного бюджета</w:t>
      </w:r>
      <w:r w:rsidR="00DF6B2A" w:rsidRPr="005A5489">
        <w:rPr>
          <w:b/>
          <w:i/>
        </w:rPr>
        <w:t xml:space="preserve"> </w:t>
      </w:r>
      <w:r w:rsidR="00CF2A1F" w:rsidRPr="005A5489">
        <w:rPr>
          <w:b/>
          <w:i/>
        </w:rPr>
        <w:t xml:space="preserve">за </w:t>
      </w:r>
      <w:r w:rsidR="00BC2D0C" w:rsidRPr="005A5489">
        <w:rPr>
          <w:b/>
          <w:i/>
        </w:rPr>
        <w:t>201</w:t>
      </w:r>
      <w:r w:rsidR="00FF4023" w:rsidRPr="005A5489">
        <w:rPr>
          <w:b/>
          <w:i/>
        </w:rPr>
        <w:t>9</w:t>
      </w:r>
      <w:r w:rsidR="00DF6B2A" w:rsidRPr="005A5489">
        <w:rPr>
          <w:b/>
          <w:i/>
        </w:rPr>
        <w:t xml:space="preserve"> год</w:t>
      </w:r>
      <w:r w:rsidR="00FA2DC2">
        <w:t xml:space="preserve"> приведен</w:t>
      </w:r>
      <w:r w:rsidR="00414EAF">
        <w:t xml:space="preserve"> в таблице № 1.</w:t>
      </w:r>
    </w:p>
    <w:p w:rsidR="004B1738" w:rsidRPr="00A57033" w:rsidRDefault="004B1738" w:rsidP="006E2DC4">
      <w:pPr>
        <w:pStyle w:val="a3"/>
        <w:ind w:left="0" w:firstLine="720"/>
        <w:jc w:val="both"/>
      </w:pPr>
    </w:p>
    <w:p w:rsidR="00BC2D0C" w:rsidRPr="004B1738" w:rsidRDefault="00BC2D0C" w:rsidP="004B1738">
      <w:pPr>
        <w:pStyle w:val="a3"/>
        <w:ind w:left="0" w:firstLine="720"/>
        <w:jc w:val="right"/>
        <w:rPr>
          <w:b/>
          <w:sz w:val="20"/>
          <w:szCs w:val="20"/>
        </w:rPr>
      </w:pPr>
      <w:r w:rsidRPr="004B1738">
        <w:rPr>
          <w:b/>
          <w:sz w:val="20"/>
          <w:szCs w:val="20"/>
        </w:rPr>
        <w:t>Таблица № 1 (тыс. руб</w:t>
      </w:r>
      <w:r w:rsidR="001E53C6" w:rsidRPr="004B1738">
        <w:rPr>
          <w:b/>
          <w:sz w:val="20"/>
          <w:szCs w:val="20"/>
        </w:rPr>
        <w:t>.</w:t>
      </w:r>
      <w:r w:rsidR="004B1738" w:rsidRPr="004B1738">
        <w:rPr>
          <w:b/>
          <w:sz w:val="20"/>
          <w:szCs w:val="20"/>
        </w:rPr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693"/>
        <w:gridCol w:w="2126"/>
        <w:gridCol w:w="1618"/>
      </w:tblGrid>
      <w:tr w:rsidR="00BC2D0C" w:rsidRPr="00A57033" w:rsidTr="004B1738">
        <w:tc>
          <w:tcPr>
            <w:tcW w:w="3119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:rsidR="008262D2" w:rsidRPr="00F93013" w:rsidRDefault="008262D2" w:rsidP="008262D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Утверждено ре</w:t>
            </w:r>
            <w:r w:rsidR="00DD4D17">
              <w:rPr>
                <w:sz w:val="18"/>
                <w:szCs w:val="18"/>
                <w:lang w:eastAsia="en-US"/>
              </w:rPr>
              <w:t>шением Думы городского округа №3</w:t>
            </w:r>
            <w:r w:rsidR="00216B01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-ДГО от </w:t>
            </w: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216B01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.12.201</w:t>
            </w:r>
            <w:r w:rsidR="00216B01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г</w:t>
            </w:r>
            <w:r w:rsidR="00DD4D17">
              <w:rPr>
                <w:sz w:val="18"/>
                <w:szCs w:val="18"/>
                <w:lang w:eastAsia="en-US"/>
              </w:rPr>
              <w:t xml:space="preserve"> (с учетом изменений внесенных реш</w:t>
            </w:r>
            <w:r w:rsidR="00216B01">
              <w:rPr>
                <w:sz w:val="18"/>
                <w:szCs w:val="18"/>
                <w:lang w:eastAsia="en-US"/>
              </w:rPr>
              <w:t>ением Думы городского округа № 30-ДГО от 26.12.2019</w:t>
            </w:r>
            <w:r w:rsidR="00DD4D17">
              <w:rPr>
                <w:sz w:val="18"/>
                <w:szCs w:val="18"/>
                <w:lang w:eastAsia="en-US"/>
              </w:rPr>
              <w:t>г</w:t>
            </w:r>
            <w:r w:rsidR="00350DDD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350DDD">
              <w:rPr>
                <w:sz w:val="18"/>
                <w:szCs w:val="18"/>
                <w:lang w:eastAsia="en-US"/>
              </w:rPr>
              <w:t>расп</w:t>
            </w:r>
            <w:proofErr w:type="spellEnd"/>
            <w:r w:rsidR="00350DDD">
              <w:rPr>
                <w:sz w:val="18"/>
                <w:szCs w:val="18"/>
                <w:lang w:eastAsia="en-US"/>
              </w:rPr>
              <w:t xml:space="preserve"> Комитета по финансам</w:t>
            </w:r>
            <w:r w:rsidR="00DD4D17">
              <w:rPr>
                <w:sz w:val="18"/>
                <w:szCs w:val="18"/>
                <w:lang w:eastAsia="en-US"/>
              </w:rPr>
              <w:t>)</w:t>
            </w:r>
          </w:p>
          <w:p w:rsidR="00BC2D0C" w:rsidRPr="00F93013" w:rsidRDefault="00BC2D0C" w:rsidP="00797D6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C2D0C" w:rsidRPr="00F93013" w:rsidRDefault="00BC2D0C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lastRenderedPageBreak/>
              <w:t>Фактическое исполнение</w:t>
            </w:r>
            <w:r w:rsidR="00216B01">
              <w:rPr>
                <w:sz w:val="18"/>
                <w:szCs w:val="18"/>
              </w:rPr>
              <w:t xml:space="preserve"> за 2019</w:t>
            </w:r>
            <w:r w:rsidR="008262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618" w:type="dxa"/>
          </w:tcPr>
          <w:p w:rsidR="00BC2D0C" w:rsidRPr="00F93013" w:rsidRDefault="003371F3" w:rsidP="00F9301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93013">
              <w:rPr>
                <w:sz w:val="18"/>
                <w:szCs w:val="18"/>
              </w:rPr>
              <w:t>% исполнения</w:t>
            </w:r>
          </w:p>
        </w:tc>
      </w:tr>
      <w:tr w:rsidR="00BC2D0C" w:rsidRPr="00A57033" w:rsidTr="004B1738">
        <w:trPr>
          <w:trHeight w:val="476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2693" w:type="dxa"/>
          </w:tcPr>
          <w:p w:rsidR="00AD6D3E" w:rsidRPr="00A57033" w:rsidRDefault="00216B0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2 576 292,2</w:t>
            </w:r>
          </w:p>
        </w:tc>
        <w:tc>
          <w:tcPr>
            <w:tcW w:w="2126" w:type="dxa"/>
          </w:tcPr>
          <w:p w:rsidR="00BC2D0C" w:rsidRPr="00A57033" w:rsidRDefault="00216B0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2 449 859,5</w:t>
            </w:r>
          </w:p>
        </w:tc>
        <w:tc>
          <w:tcPr>
            <w:tcW w:w="1618" w:type="dxa"/>
          </w:tcPr>
          <w:p w:rsidR="00BC2D0C" w:rsidRPr="00A57033" w:rsidRDefault="00216B0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216B01" w:rsidP="00797D6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2 593 801,5</w:t>
            </w:r>
          </w:p>
        </w:tc>
        <w:tc>
          <w:tcPr>
            <w:tcW w:w="2126" w:type="dxa"/>
          </w:tcPr>
          <w:p w:rsidR="00BC2D0C" w:rsidRPr="00A57033" w:rsidRDefault="00216B0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2 352 258,4</w:t>
            </w:r>
          </w:p>
        </w:tc>
        <w:tc>
          <w:tcPr>
            <w:tcW w:w="1618" w:type="dxa"/>
          </w:tcPr>
          <w:p w:rsidR="00BC2D0C" w:rsidRPr="00A57033" w:rsidRDefault="00216B0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BC2D0C" w:rsidRPr="00A57033" w:rsidRDefault="00216B0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- 17 509,3</w:t>
            </w:r>
          </w:p>
        </w:tc>
        <w:tc>
          <w:tcPr>
            <w:tcW w:w="2126" w:type="dxa"/>
          </w:tcPr>
          <w:p w:rsidR="002E373E" w:rsidRPr="00A57033" w:rsidRDefault="00216B01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97 601,1</w:t>
            </w:r>
          </w:p>
        </w:tc>
        <w:tc>
          <w:tcPr>
            <w:tcW w:w="1618" w:type="dxa"/>
          </w:tcPr>
          <w:p w:rsidR="00BC2D0C" w:rsidRPr="00A57033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  <w:p w:rsidR="00BD4080" w:rsidRPr="00102B50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BD4080">
              <w:rPr>
                <w:sz w:val="22"/>
                <w:szCs w:val="22"/>
              </w:rPr>
              <w:t>6,4</w:t>
            </w:r>
          </w:p>
        </w:tc>
        <w:tc>
          <w:tcPr>
            <w:tcW w:w="2126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D4080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8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2531A" w:rsidRPr="00A57033" w:rsidRDefault="0042531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126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618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  <w:p w:rsidR="00BD4080" w:rsidRPr="00102B50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0,019</w:t>
            </w:r>
          </w:p>
        </w:tc>
        <w:tc>
          <w:tcPr>
            <w:tcW w:w="2126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BD4080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0,021</w:t>
            </w:r>
          </w:p>
        </w:tc>
        <w:tc>
          <w:tcPr>
            <w:tcW w:w="1618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2531A" w:rsidRPr="00A57033" w:rsidRDefault="0042531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D0C" w:rsidRPr="00A57033" w:rsidTr="004B1738">
        <w:trPr>
          <w:trHeight w:val="369"/>
        </w:trPr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2 460 797,9</w:t>
            </w:r>
          </w:p>
        </w:tc>
        <w:tc>
          <w:tcPr>
            <w:tcW w:w="2126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2 220 287,8</w:t>
            </w:r>
          </w:p>
        </w:tc>
        <w:tc>
          <w:tcPr>
            <w:tcW w:w="1618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</w:tr>
      <w:tr w:rsidR="00BC2D0C" w:rsidRPr="00A57033" w:rsidTr="004B1738">
        <w:tc>
          <w:tcPr>
            <w:tcW w:w="3119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94.9</w:t>
            </w:r>
          </w:p>
        </w:tc>
        <w:tc>
          <w:tcPr>
            <w:tcW w:w="2126" w:type="dxa"/>
          </w:tcPr>
          <w:p w:rsidR="00BC2D0C" w:rsidRPr="00A57033" w:rsidRDefault="00BD40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</w:t>
            </w:r>
          </w:p>
        </w:tc>
        <w:tc>
          <w:tcPr>
            <w:tcW w:w="1618" w:type="dxa"/>
          </w:tcPr>
          <w:p w:rsidR="00BC2D0C" w:rsidRPr="00A57033" w:rsidRDefault="0042531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C2D0C" w:rsidRPr="00A57033" w:rsidRDefault="00BC2D0C" w:rsidP="00406782">
      <w:pPr>
        <w:pStyle w:val="a3"/>
        <w:jc w:val="both"/>
      </w:pPr>
    </w:p>
    <w:p w:rsidR="007309B5" w:rsidRPr="000804C1" w:rsidRDefault="008B70F7" w:rsidP="0087599B">
      <w:pPr>
        <w:pStyle w:val="a3"/>
        <w:ind w:left="0" w:firstLine="720"/>
        <w:jc w:val="both"/>
      </w:pPr>
      <w:r w:rsidRPr="000804C1">
        <w:t>И</w:t>
      </w:r>
      <w:r w:rsidR="00BC2D0C" w:rsidRPr="000804C1">
        <w:t>з таблицы</w:t>
      </w:r>
      <w:r w:rsidR="007C0477" w:rsidRPr="000804C1">
        <w:t xml:space="preserve"> № 1</w:t>
      </w:r>
      <w:r w:rsidRPr="000804C1">
        <w:t xml:space="preserve"> видно, что</w:t>
      </w:r>
      <w:r w:rsidR="00BC2D0C" w:rsidRPr="000804C1">
        <w:t xml:space="preserve"> </w:t>
      </w:r>
      <w:r w:rsidR="00532829">
        <w:t>за 2019</w:t>
      </w:r>
      <w:r w:rsidR="00135CC9">
        <w:t xml:space="preserve"> год</w:t>
      </w:r>
      <w:r w:rsidR="00BC2D0C" w:rsidRPr="000804C1">
        <w:t xml:space="preserve"> </w:t>
      </w:r>
      <w:r w:rsidR="007A6654" w:rsidRPr="000804C1">
        <w:t xml:space="preserve">местный </w:t>
      </w:r>
      <w:r w:rsidR="00BC2D0C" w:rsidRPr="000804C1">
        <w:t>бюджет исполнен</w:t>
      </w:r>
      <w:r w:rsidR="00135CC9">
        <w:t xml:space="preserve"> </w:t>
      </w:r>
      <w:r w:rsidR="00BC2D0C" w:rsidRPr="000804C1">
        <w:t xml:space="preserve">с профицитом в размере </w:t>
      </w:r>
      <w:r w:rsidR="00532829">
        <w:t>97 601,1</w:t>
      </w:r>
      <w:r w:rsidR="00135CC9">
        <w:t xml:space="preserve"> </w:t>
      </w:r>
      <w:r w:rsidR="00BC2D0C" w:rsidRPr="000804C1">
        <w:t>тыс. руб.</w:t>
      </w:r>
      <w:r w:rsidR="007309B5" w:rsidRPr="000804C1">
        <w:t xml:space="preserve"> (</w:t>
      </w:r>
      <w:r w:rsidR="00372EBC" w:rsidRPr="000804C1">
        <w:t>при этом,</w:t>
      </w:r>
      <w:r w:rsidR="00135CC9">
        <w:t xml:space="preserve"> </w:t>
      </w:r>
      <w:r w:rsidR="003A449C" w:rsidRPr="000804C1">
        <w:t xml:space="preserve">бюджет </w:t>
      </w:r>
      <w:r w:rsidR="00BC2D0C" w:rsidRPr="000804C1">
        <w:t>на 201</w:t>
      </w:r>
      <w:r w:rsidR="005A5489">
        <w:t>9</w:t>
      </w:r>
      <w:r w:rsidR="00372EBC" w:rsidRPr="000804C1">
        <w:t xml:space="preserve"> год</w:t>
      </w:r>
      <w:r w:rsidR="00135CC9">
        <w:t xml:space="preserve"> </w:t>
      </w:r>
      <w:r w:rsidR="00D400A8" w:rsidRPr="000804C1">
        <w:t xml:space="preserve">с изменениями </w:t>
      </w:r>
      <w:r w:rsidR="00BC2D0C" w:rsidRPr="000804C1">
        <w:t xml:space="preserve">утвержден </w:t>
      </w:r>
      <w:r w:rsidR="003A449C" w:rsidRPr="000804C1">
        <w:t xml:space="preserve">с </w:t>
      </w:r>
      <w:r w:rsidR="008245CE" w:rsidRPr="000804C1">
        <w:t>дефицит</w:t>
      </w:r>
      <w:r w:rsidR="003A449C" w:rsidRPr="000804C1">
        <w:t>ом</w:t>
      </w:r>
      <w:r w:rsidR="00135CC9">
        <w:t xml:space="preserve"> </w:t>
      </w:r>
      <w:r w:rsidR="00BC2D0C" w:rsidRPr="000804C1">
        <w:t xml:space="preserve">в размере </w:t>
      </w:r>
      <w:r w:rsidR="00532829">
        <w:t>17 509,3</w:t>
      </w:r>
      <w:r w:rsidR="00135CC9">
        <w:t xml:space="preserve">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BC2D0C" w:rsidRPr="000804C1">
        <w:t>.</w:t>
      </w:r>
      <w:r w:rsidR="00372EBC" w:rsidRPr="000804C1">
        <w:t>)</w:t>
      </w:r>
      <w:r w:rsidR="00135CC9">
        <w:t xml:space="preserve">. </w:t>
      </w:r>
      <w:r w:rsidR="007A6654" w:rsidRPr="000804C1">
        <w:t xml:space="preserve">Доходы исполнены на сумму </w:t>
      </w:r>
      <w:r w:rsidR="00532829">
        <w:t>2</w:t>
      </w:r>
      <w:r w:rsidR="00894E48">
        <w:t> </w:t>
      </w:r>
      <w:r w:rsidR="00532829">
        <w:t>449</w:t>
      </w:r>
      <w:r w:rsidR="00894E48">
        <w:t xml:space="preserve"> </w:t>
      </w:r>
      <w:r w:rsidR="00532829">
        <w:t>859,5</w:t>
      </w:r>
      <w:r w:rsidR="00D400A8" w:rsidRPr="000804C1">
        <w:t xml:space="preserve"> тыс. руб. или на </w:t>
      </w:r>
      <w:r w:rsidR="00532829">
        <w:t>95,1</w:t>
      </w:r>
      <w:r w:rsidR="00135CC9">
        <w:t xml:space="preserve"> </w:t>
      </w:r>
      <w:r w:rsidR="007A6654" w:rsidRPr="000804C1">
        <w:t xml:space="preserve">% от утвержденного объема </w:t>
      </w:r>
      <w:r w:rsidR="00135CC9">
        <w:t xml:space="preserve">бюджетных </w:t>
      </w:r>
      <w:r w:rsidR="007A6654" w:rsidRPr="000804C1">
        <w:t>назначений.</w:t>
      </w:r>
      <w:r w:rsidR="00135CC9">
        <w:t xml:space="preserve"> </w:t>
      </w:r>
      <w:r w:rsidR="00D400A8" w:rsidRPr="000804C1">
        <w:t xml:space="preserve">Расходы исполнены на сумму </w:t>
      </w:r>
      <w:r w:rsidR="00894E48">
        <w:t>2 352 258,4</w:t>
      </w:r>
      <w:r w:rsidR="00D400A8" w:rsidRPr="000804C1">
        <w:t xml:space="preserve"> тыс. руб. или на </w:t>
      </w:r>
      <w:r w:rsidR="00894E48">
        <w:t>90,7</w:t>
      </w:r>
      <w:r w:rsidR="00D400A8" w:rsidRPr="000804C1">
        <w:t xml:space="preserve">% от утвержденного объема </w:t>
      </w:r>
      <w:r w:rsidR="00135CC9">
        <w:t xml:space="preserve">бюджетных </w:t>
      </w:r>
      <w:r w:rsidR="00D400A8" w:rsidRPr="000804C1">
        <w:t xml:space="preserve">назначений. Исполнение  программных расходов составило </w:t>
      </w:r>
      <w:r w:rsidR="00894E48">
        <w:t>2 220 287,8</w:t>
      </w:r>
      <w:r w:rsidR="00D400A8" w:rsidRPr="000804C1">
        <w:t xml:space="preserve"> тыс. руб. или </w:t>
      </w:r>
      <w:r w:rsidR="00894E48">
        <w:t>90</w:t>
      </w:r>
      <w:r w:rsidR="00135CC9">
        <w:t>,2</w:t>
      </w:r>
      <w:r w:rsidR="00CF5AF3" w:rsidRPr="000804C1">
        <w:t xml:space="preserve">% от утвержденных </w:t>
      </w:r>
      <w:r w:rsidR="00135CC9">
        <w:t xml:space="preserve">бюджетных </w:t>
      </w:r>
      <w:r w:rsidR="00CF5AF3" w:rsidRPr="000804C1">
        <w:t xml:space="preserve">назначений, что составляет </w:t>
      </w:r>
      <w:r w:rsidR="00894E48">
        <w:t>94,4</w:t>
      </w:r>
      <w:r w:rsidR="00CF5AF3" w:rsidRPr="000804C1">
        <w:t xml:space="preserve">% от общей суммы </w:t>
      </w:r>
      <w:r w:rsidR="00894E48">
        <w:t xml:space="preserve">исполненных </w:t>
      </w:r>
      <w:r w:rsidR="00CF5AF3" w:rsidRPr="000804C1">
        <w:t>расходов</w:t>
      </w:r>
      <w:r w:rsidR="00372EBC" w:rsidRPr="000804C1">
        <w:t xml:space="preserve"> местного бюджета</w:t>
      </w:r>
      <w:r w:rsidR="00272280" w:rsidRPr="000804C1">
        <w:t>.</w:t>
      </w:r>
    </w:p>
    <w:p w:rsidR="00557164" w:rsidRDefault="00FF0973" w:rsidP="0087599B">
      <w:pPr>
        <w:pStyle w:val="a3"/>
        <w:ind w:left="0" w:firstLine="720"/>
        <w:jc w:val="both"/>
      </w:pPr>
      <w:r>
        <w:t xml:space="preserve">Нарушений предельного объема дефицита местного бюджета, определенного п.3 ст.92.1 Бюджетного Кодекса РФ, как на </w:t>
      </w:r>
      <w:proofErr w:type="gramStart"/>
      <w:r>
        <w:t>начало</w:t>
      </w:r>
      <w:proofErr w:type="gramEnd"/>
      <w:r w:rsidR="00B03DB0">
        <w:t xml:space="preserve"> </w:t>
      </w:r>
      <w:r w:rsidR="00894E48">
        <w:t xml:space="preserve">так </w:t>
      </w:r>
      <w:r w:rsidR="00B03DB0">
        <w:t xml:space="preserve">и </w:t>
      </w:r>
      <w:r w:rsidR="00894E48">
        <w:t xml:space="preserve">на </w:t>
      </w:r>
      <w:r w:rsidR="00B03DB0">
        <w:t xml:space="preserve">конец финансового </w:t>
      </w:r>
      <w:r w:rsidR="00894E48">
        <w:t xml:space="preserve"> года</w:t>
      </w:r>
      <w:r>
        <w:t xml:space="preserve"> не установлено.</w:t>
      </w:r>
    </w:p>
    <w:p w:rsidR="00B03DB0" w:rsidRDefault="00B03DB0" w:rsidP="0087599B">
      <w:pPr>
        <w:pStyle w:val="a3"/>
        <w:ind w:left="0" w:firstLine="720"/>
        <w:jc w:val="both"/>
      </w:pPr>
      <w:r>
        <w:t>Резервный фонд муниципального образования – «город Тулун»  не превышает предельного значения установленного п.3 ст.81 Бюджетного Кодекса РФ.</w:t>
      </w:r>
    </w:p>
    <w:p w:rsidR="002429C1" w:rsidRDefault="002429C1" w:rsidP="0087599B">
      <w:pPr>
        <w:pStyle w:val="a3"/>
        <w:ind w:left="0" w:firstLine="720"/>
        <w:jc w:val="both"/>
      </w:pPr>
    </w:p>
    <w:p w:rsidR="00B03DB0" w:rsidRPr="00725D99" w:rsidRDefault="00B03DB0" w:rsidP="0087599B">
      <w:pPr>
        <w:pStyle w:val="a3"/>
        <w:ind w:left="0" w:firstLine="720"/>
        <w:jc w:val="both"/>
      </w:pPr>
    </w:p>
    <w:p w:rsidR="00BC2D0C" w:rsidRPr="00A57033" w:rsidRDefault="00135CC9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>
        <w:rPr>
          <w:b/>
        </w:rPr>
        <w:t xml:space="preserve">4.1. </w:t>
      </w:r>
      <w:r w:rsidR="00BC2D0C" w:rsidRPr="00A57033">
        <w:rPr>
          <w:b/>
        </w:rPr>
        <w:t>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6D4256" w:rsidRPr="000804C1" w:rsidRDefault="008356F9" w:rsidP="008812D6">
      <w:pPr>
        <w:ind w:right="-142" w:firstLine="540"/>
        <w:jc w:val="both"/>
      </w:pPr>
      <w:r>
        <w:t>Первоначально решением</w:t>
      </w:r>
      <w:r w:rsidR="00065639" w:rsidRPr="000804C1">
        <w:t xml:space="preserve"> о</w:t>
      </w:r>
      <w:r w:rsidR="005563AA" w:rsidRPr="000804C1">
        <w:t xml:space="preserve"> бюджете </w:t>
      </w:r>
      <w:r w:rsidR="008D3B86">
        <w:t>от 27.12.201</w:t>
      </w:r>
      <w:r w:rsidR="0016253D">
        <w:t>8</w:t>
      </w:r>
      <w:r w:rsidR="008D3B86">
        <w:t xml:space="preserve"> № 30</w:t>
      </w:r>
      <w:r w:rsidR="0011402B">
        <w:t xml:space="preserve">-ДГО </w:t>
      </w:r>
      <w:r w:rsidR="00BC2D0C" w:rsidRPr="000804C1">
        <w:t xml:space="preserve"> общий объем доходов местного бюджета на 201</w:t>
      </w:r>
      <w:r w:rsidR="008D3B86">
        <w:t>9</w:t>
      </w:r>
      <w:r w:rsidR="00BC2D0C" w:rsidRPr="000804C1">
        <w:t xml:space="preserve"> год утвержден в сумме </w:t>
      </w:r>
      <w:r w:rsidR="008D3B86">
        <w:t>921 498,4</w:t>
      </w:r>
      <w:r w:rsidR="0011402B">
        <w:t xml:space="preserve"> </w:t>
      </w:r>
      <w:proofErr w:type="spellStart"/>
      <w:r w:rsidR="00BC2D0C" w:rsidRPr="000804C1">
        <w:t>тыс</w:t>
      </w:r>
      <w:proofErr w:type="gramStart"/>
      <w:r w:rsidR="00BC2D0C" w:rsidRPr="000804C1">
        <w:t>.р</w:t>
      </w:r>
      <w:proofErr w:type="gramEnd"/>
      <w:r w:rsidR="00BC2D0C" w:rsidRPr="000804C1">
        <w:t>уб</w:t>
      </w:r>
      <w:proofErr w:type="spellEnd"/>
      <w:r w:rsidR="00F52D51" w:rsidRPr="000804C1">
        <w:t>.</w:t>
      </w:r>
      <w:r w:rsidR="00BC2D0C" w:rsidRPr="000804C1">
        <w:t>,  из них</w:t>
      </w:r>
      <w:r w:rsidR="00E47A8D">
        <w:t xml:space="preserve"> </w:t>
      </w:r>
      <w:r w:rsidR="008812D6" w:rsidRPr="000804C1">
        <w:t xml:space="preserve">объем </w:t>
      </w:r>
      <w:r>
        <w:t>безвозмездных поступлений</w:t>
      </w:r>
      <w:r w:rsidR="008812D6" w:rsidRPr="000804C1">
        <w:t>, получаемых из других бюджетов бюджетной системы Российской Федерации</w:t>
      </w:r>
      <w:r w:rsidR="00DD4A67" w:rsidRPr="000804C1">
        <w:t>,</w:t>
      </w:r>
      <w:r w:rsidR="008812D6" w:rsidRPr="000804C1">
        <w:t xml:space="preserve"> в </w:t>
      </w:r>
      <w:r w:rsidR="00CF5AF3" w:rsidRPr="000804C1">
        <w:t>объеме</w:t>
      </w:r>
      <w:r w:rsidR="0011402B">
        <w:t xml:space="preserve"> </w:t>
      </w:r>
      <w:r w:rsidR="008D3B86">
        <w:t>627 859,3</w:t>
      </w:r>
      <w:r w:rsidR="0011402B">
        <w:t xml:space="preserve"> </w:t>
      </w:r>
      <w:proofErr w:type="spellStart"/>
      <w:r w:rsidR="00BC2D0C" w:rsidRPr="000804C1">
        <w:t>тыс.руб</w:t>
      </w:r>
      <w:proofErr w:type="spellEnd"/>
      <w:r w:rsidR="00BC2D0C" w:rsidRPr="000804C1">
        <w:t>.</w:t>
      </w:r>
      <w:r w:rsidR="00950F74" w:rsidRPr="000804C1">
        <w:t xml:space="preserve"> В связи с увеличением</w:t>
      </w:r>
      <w:r w:rsidR="005563AA" w:rsidRPr="000804C1">
        <w:t xml:space="preserve"> объема </w:t>
      </w:r>
      <w:r>
        <w:t xml:space="preserve">безвозмездных поступлений </w:t>
      </w:r>
      <w:r w:rsidR="00326931" w:rsidRPr="000804C1">
        <w:t>и с</w:t>
      </w:r>
      <w:r w:rsidR="00D24ABF" w:rsidRPr="000804C1">
        <w:t>о</w:t>
      </w:r>
      <w:r w:rsidR="00326931" w:rsidRPr="000804C1">
        <w:t>бственных доходов</w:t>
      </w:r>
      <w:r w:rsidR="005567B7">
        <w:t>,</w:t>
      </w:r>
      <w:r w:rsidR="00326931" w:rsidRPr="000804C1">
        <w:t xml:space="preserve">  плановый объем</w:t>
      </w:r>
      <w:r w:rsidR="00D24ABF" w:rsidRPr="000804C1">
        <w:t xml:space="preserve"> доходов на</w:t>
      </w:r>
      <w:r w:rsidR="008D3B86">
        <w:t xml:space="preserve"> 2019</w:t>
      </w:r>
      <w:r w:rsidR="00950F74" w:rsidRPr="000804C1">
        <w:t xml:space="preserve"> год </w:t>
      </w:r>
      <w:r w:rsidR="008D3B86">
        <w:t>увеличился на 1 654 793,8</w:t>
      </w:r>
      <w:r w:rsidR="005C61E7">
        <w:t xml:space="preserve"> </w:t>
      </w:r>
      <w:proofErr w:type="spellStart"/>
      <w:r w:rsidR="005C61E7">
        <w:t>тыс</w:t>
      </w:r>
      <w:proofErr w:type="gramStart"/>
      <w:r w:rsidR="006E1582">
        <w:t>.</w:t>
      </w:r>
      <w:r w:rsidR="005C61E7">
        <w:t>р</w:t>
      </w:r>
      <w:proofErr w:type="gramEnd"/>
      <w:r w:rsidR="005C61E7">
        <w:t>уб</w:t>
      </w:r>
      <w:proofErr w:type="spellEnd"/>
      <w:r w:rsidR="006E1582">
        <w:t>.</w:t>
      </w:r>
      <w:r w:rsidR="005C61E7">
        <w:t xml:space="preserve"> или на </w:t>
      </w:r>
      <w:r w:rsidR="002E099D">
        <w:t>1</w:t>
      </w:r>
      <w:r w:rsidR="006E1582">
        <w:t>79</w:t>
      </w:r>
      <w:r w:rsidR="002E099D">
        <w:t>,6</w:t>
      </w:r>
      <w:r>
        <w:t>% и</w:t>
      </w:r>
      <w:r w:rsidR="00D24ABF" w:rsidRPr="000804C1">
        <w:t xml:space="preserve"> </w:t>
      </w:r>
      <w:r w:rsidR="00950F74" w:rsidRPr="000804C1">
        <w:t xml:space="preserve">составил </w:t>
      </w:r>
      <w:r w:rsidR="008D3B86">
        <w:t>2 576 292,2</w:t>
      </w:r>
      <w:r>
        <w:t xml:space="preserve"> </w:t>
      </w:r>
      <w:proofErr w:type="spellStart"/>
      <w:r w:rsidR="00306FC4" w:rsidRPr="000804C1">
        <w:t>тыс.руб</w:t>
      </w:r>
      <w:proofErr w:type="spellEnd"/>
      <w:r w:rsidR="00306FC4" w:rsidRPr="000804C1">
        <w:t xml:space="preserve">., в том числе плановый объем </w:t>
      </w:r>
      <w:r w:rsidRPr="008356F9">
        <w:t xml:space="preserve">безвозмездных поступлений, получаемых из других бюджетов бюджетной системы Российской Федерации </w:t>
      </w:r>
      <w:r w:rsidR="00D24ABF" w:rsidRPr="000804C1">
        <w:t xml:space="preserve">составил </w:t>
      </w:r>
      <w:r w:rsidR="008D3B86">
        <w:t>2 302 023,5</w:t>
      </w:r>
      <w:r>
        <w:t xml:space="preserve"> </w:t>
      </w:r>
      <w:proofErr w:type="spellStart"/>
      <w:r w:rsidR="00D24ABF" w:rsidRPr="000804C1">
        <w:t>тыс.руб</w:t>
      </w:r>
      <w:proofErr w:type="spellEnd"/>
      <w:r w:rsidR="008D3B86">
        <w:t>.</w:t>
      </w:r>
    </w:p>
    <w:p w:rsidR="002F0981" w:rsidRPr="000804C1" w:rsidRDefault="002F0981" w:rsidP="008D3E17">
      <w:pPr>
        <w:ind w:right="-142" w:firstLine="540"/>
        <w:jc w:val="both"/>
      </w:pPr>
    </w:p>
    <w:p w:rsidR="002F0981" w:rsidRDefault="00F91CD2" w:rsidP="005567B7">
      <w:pPr>
        <w:autoSpaceDE w:val="0"/>
        <w:autoSpaceDN w:val="0"/>
        <w:adjustRightInd w:val="0"/>
        <w:ind w:firstLine="540"/>
        <w:jc w:val="both"/>
      </w:pPr>
      <w:r w:rsidRPr="000804C1">
        <w:t xml:space="preserve">Структура </w:t>
      </w:r>
      <w:r w:rsidR="000804C1">
        <w:t xml:space="preserve">исполнения </w:t>
      </w:r>
      <w:r w:rsidR="00DE0792" w:rsidRPr="000804C1">
        <w:t xml:space="preserve">бюджета муниципального образования – «город Тулун» </w:t>
      </w:r>
      <w:r w:rsidR="000804C1">
        <w:t xml:space="preserve">по доходам </w:t>
      </w:r>
      <w:r w:rsidR="008D3B86">
        <w:t>за 2019</w:t>
      </w:r>
      <w:r w:rsidR="008356F9">
        <w:t xml:space="preserve"> год</w:t>
      </w:r>
      <w:r w:rsidRPr="000804C1">
        <w:t xml:space="preserve"> </w:t>
      </w:r>
      <w:r w:rsidR="00DE0792" w:rsidRPr="000804C1">
        <w:t xml:space="preserve"> представлен</w:t>
      </w:r>
      <w:r w:rsidRPr="000804C1">
        <w:t>а</w:t>
      </w:r>
      <w:r w:rsidR="000804C1">
        <w:t xml:space="preserve"> на рисунке № 1.</w:t>
      </w:r>
    </w:p>
    <w:p w:rsidR="005567B7" w:rsidRDefault="005567B7" w:rsidP="005567B7">
      <w:pPr>
        <w:autoSpaceDE w:val="0"/>
        <w:autoSpaceDN w:val="0"/>
        <w:adjustRightInd w:val="0"/>
        <w:ind w:firstLine="540"/>
        <w:jc w:val="both"/>
      </w:pPr>
    </w:p>
    <w:p w:rsidR="0042725D" w:rsidRDefault="0042725D" w:rsidP="005F437E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</w:p>
    <w:p w:rsidR="0042725D" w:rsidRDefault="0042725D" w:rsidP="005F437E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</w:p>
    <w:p w:rsidR="005F437E" w:rsidRPr="005F437E" w:rsidRDefault="00326931" w:rsidP="005F437E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004934">
        <w:rPr>
          <w:b/>
          <w:sz w:val="22"/>
          <w:szCs w:val="22"/>
        </w:rPr>
        <w:lastRenderedPageBreak/>
        <w:t>Рисунок № 1</w:t>
      </w:r>
    </w:p>
    <w:p w:rsidR="005F437E" w:rsidRPr="005F437E" w:rsidRDefault="005F437E" w:rsidP="005F437E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5932170" cy="347154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437E" w:rsidRDefault="005F437E" w:rsidP="00BE454D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</w:p>
    <w:p w:rsidR="005F437E" w:rsidRDefault="005F437E" w:rsidP="00BE454D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</w:p>
    <w:p w:rsidR="008D3B86" w:rsidRDefault="008D3B86" w:rsidP="0030444C">
      <w:pPr>
        <w:ind w:right="-142"/>
        <w:jc w:val="both"/>
      </w:pPr>
    </w:p>
    <w:p w:rsidR="00D24ABF" w:rsidRDefault="0030444C" w:rsidP="0030444C">
      <w:pPr>
        <w:ind w:right="-142"/>
        <w:jc w:val="both"/>
      </w:pPr>
      <w:r w:rsidRPr="005F437E">
        <w:t xml:space="preserve">Основную долю </w:t>
      </w:r>
      <w:r w:rsidR="00D24ABF" w:rsidRPr="005F437E">
        <w:t xml:space="preserve">в структуре  исполнения  бюджета муниципального образования – «город Тулун» </w:t>
      </w:r>
      <w:r w:rsidRPr="005F437E">
        <w:t xml:space="preserve">по доходам за </w:t>
      </w:r>
      <w:r w:rsidR="00D24ABF" w:rsidRPr="005F437E">
        <w:t>20</w:t>
      </w:r>
      <w:r w:rsidR="003F66FC" w:rsidRPr="005F437E">
        <w:t>19</w:t>
      </w:r>
      <w:r w:rsidRPr="005F437E">
        <w:t xml:space="preserve"> год </w:t>
      </w:r>
      <w:r w:rsidR="00D24ABF" w:rsidRPr="005F437E">
        <w:t xml:space="preserve"> составили безвозмездные поступления от других бюджетов бюджетной системы</w:t>
      </w:r>
      <w:r w:rsidR="005B7FC8" w:rsidRPr="005F437E">
        <w:t xml:space="preserve"> РФ</w:t>
      </w:r>
      <w:r w:rsidR="00D24ABF" w:rsidRPr="005F437E">
        <w:t xml:space="preserve"> </w:t>
      </w:r>
      <w:r w:rsidR="003F66FC" w:rsidRPr="005F437E">
        <w:t>–89</w:t>
      </w:r>
      <w:r w:rsidRPr="005F437E">
        <w:t xml:space="preserve"> %, д</w:t>
      </w:r>
      <w:r w:rsidR="00D24ABF" w:rsidRPr="005F437E">
        <w:t>оля налоговых доходов составила</w:t>
      </w:r>
      <w:r w:rsidR="003F66FC" w:rsidRPr="005F437E">
        <w:t xml:space="preserve"> 10</w:t>
      </w:r>
      <w:r w:rsidR="00D24ABF" w:rsidRPr="005F437E">
        <w:t xml:space="preserve"> %, </w:t>
      </w:r>
      <w:r w:rsidR="00F52D51" w:rsidRPr="005F437E">
        <w:t xml:space="preserve">доля неналоговых доходов составила </w:t>
      </w:r>
      <w:r w:rsidR="003F66FC" w:rsidRPr="005F437E">
        <w:t>1</w:t>
      </w:r>
      <w:r w:rsidR="00D24ABF" w:rsidRPr="005F437E">
        <w:t>%.</w:t>
      </w:r>
    </w:p>
    <w:p w:rsidR="001E53C6" w:rsidRDefault="001E53C6" w:rsidP="0030444C">
      <w:pPr>
        <w:ind w:right="-142"/>
        <w:jc w:val="both"/>
      </w:pPr>
    </w:p>
    <w:p w:rsidR="00256730" w:rsidRDefault="00256730" w:rsidP="00350DDD">
      <w:pPr>
        <w:autoSpaceDE w:val="0"/>
        <w:autoSpaceDN w:val="0"/>
        <w:adjustRightInd w:val="0"/>
        <w:ind w:firstLine="540"/>
        <w:jc w:val="both"/>
      </w:pPr>
      <w:r>
        <w:t xml:space="preserve">Основные показатели фактического поступления </w:t>
      </w:r>
      <w:r w:rsidR="00844441">
        <w:t xml:space="preserve">доходов местного бюджета за 2019 </w:t>
      </w:r>
      <w:r>
        <w:t>г</w:t>
      </w:r>
      <w:r w:rsidR="00844441">
        <w:t>од</w:t>
      </w:r>
      <w:r>
        <w:t xml:space="preserve"> в сравнении с аналогичным периодом прошлого года  представлены в таблице №2.</w:t>
      </w:r>
    </w:p>
    <w:p w:rsidR="00B46DE8" w:rsidRDefault="00256730" w:rsidP="00256730">
      <w:pPr>
        <w:autoSpaceDE w:val="0"/>
        <w:autoSpaceDN w:val="0"/>
        <w:adjustRightInd w:val="0"/>
        <w:ind w:firstLine="540"/>
        <w:jc w:val="right"/>
      </w:pPr>
      <w:r>
        <w:t xml:space="preserve">        </w:t>
      </w:r>
    </w:p>
    <w:p w:rsidR="0084067F" w:rsidRDefault="00256730" w:rsidP="00256730">
      <w:pPr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  <w:r>
        <w:t xml:space="preserve">       </w:t>
      </w:r>
      <w:r w:rsidR="004E1AE5">
        <w:t xml:space="preserve">       </w:t>
      </w:r>
      <w:r w:rsidRPr="00256730">
        <w:rPr>
          <w:b/>
          <w:sz w:val="20"/>
          <w:szCs w:val="20"/>
        </w:rPr>
        <w:t>Таблица №</w:t>
      </w:r>
      <w:r>
        <w:rPr>
          <w:b/>
          <w:sz w:val="20"/>
          <w:szCs w:val="20"/>
        </w:rPr>
        <w:t>2</w:t>
      </w:r>
      <w:r w:rsidRPr="00256730">
        <w:rPr>
          <w:b/>
          <w:sz w:val="20"/>
          <w:szCs w:val="20"/>
        </w:rPr>
        <w:t xml:space="preserve"> (</w:t>
      </w:r>
      <w:proofErr w:type="spellStart"/>
      <w:r w:rsidRPr="00256730">
        <w:rPr>
          <w:b/>
          <w:sz w:val="20"/>
          <w:szCs w:val="20"/>
        </w:rPr>
        <w:t>тыс</w:t>
      </w:r>
      <w:proofErr w:type="gramStart"/>
      <w:r w:rsidRPr="00256730">
        <w:rPr>
          <w:b/>
          <w:sz w:val="20"/>
          <w:szCs w:val="20"/>
        </w:rPr>
        <w:t>.р</w:t>
      </w:r>
      <w:proofErr w:type="gramEnd"/>
      <w:r w:rsidRPr="00256730">
        <w:rPr>
          <w:b/>
          <w:sz w:val="20"/>
          <w:szCs w:val="20"/>
        </w:rPr>
        <w:t>уб</w:t>
      </w:r>
      <w:proofErr w:type="spellEnd"/>
      <w:r w:rsidRPr="00256730">
        <w:rPr>
          <w:b/>
          <w:sz w:val="20"/>
          <w:szCs w:val="20"/>
        </w:rPr>
        <w:t>.)</w:t>
      </w:r>
      <w:r w:rsidRPr="00256730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1304"/>
        <w:gridCol w:w="1416"/>
        <w:gridCol w:w="1382"/>
      </w:tblGrid>
      <w:tr w:rsidR="0084067F" w:rsidRPr="0084067F" w:rsidTr="00864DE0">
        <w:tc>
          <w:tcPr>
            <w:tcW w:w="563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84067F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84067F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383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84067F">
              <w:rPr>
                <w:b/>
                <w:sz w:val="22"/>
                <w:szCs w:val="22"/>
              </w:rPr>
              <w:t>Приро</w:t>
            </w:r>
            <w:proofErr w:type="gramStart"/>
            <w:r w:rsidRPr="0084067F">
              <w:rPr>
                <w:b/>
                <w:sz w:val="22"/>
                <w:szCs w:val="22"/>
              </w:rPr>
              <w:t>ст к пр</w:t>
            </w:r>
            <w:proofErr w:type="gramEnd"/>
            <w:r w:rsidRPr="0084067F">
              <w:rPr>
                <w:b/>
                <w:sz w:val="22"/>
                <w:szCs w:val="22"/>
              </w:rPr>
              <w:t>ошлому году, %</w:t>
            </w:r>
          </w:p>
        </w:tc>
      </w:tr>
      <w:tr w:rsidR="0084067F" w:rsidRPr="0084067F" w:rsidTr="00864DE0">
        <w:tc>
          <w:tcPr>
            <w:tcW w:w="5637" w:type="dxa"/>
          </w:tcPr>
          <w:p w:rsidR="0084067F" w:rsidRPr="0084067F" w:rsidRDefault="0084067F" w:rsidP="0084067F">
            <w:pPr>
              <w:ind w:right="-52"/>
              <w:rPr>
                <w:b/>
                <w:i/>
              </w:rPr>
            </w:pPr>
            <w:r w:rsidRPr="0084067F">
              <w:rPr>
                <w:b/>
                <w:i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248 170,8</w:t>
            </w:r>
          </w:p>
        </w:tc>
        <w:tc>
          <w:tcPr>
            <w:tcW w:w="141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243 237,5</w:t>
            </w:r>
          </w:p>
        </w:tc>
        <w:tc>
          <w:tcPr>
            <w:tcW w:w="1383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  <w:highlight w:val="yellow"/>
              </w:rPr>
            </w:pPr>
            <w:r w:rsidRPr="0084067F">
              <w:rPr>
                <w:b/>
              </w:rPr>
              <w:t>-2,0</w:t>
            </w:r>
          </w:p>
        </w:tc>
      </w:tr>
      <w:tr w:rsidR="0084067F" w:rsidRPr="0084067F" w:rsidTr="00864DE0">
        <w:tc>
          <w:tcPr>
            <w:tcW w:w="5637" w:type="dxa"/>
          </w:tcPr>
          <w:p w:rsidR="0084067F" w:rsidRPr="0084067F" w:rsidRDefault="0084067F" w:rsidP="0084067F">
            <w:pPr>
              <w:ind w:right="-52"/>
              <w:rPr>
                <w:b/>
                <w:i/>
              </w:rPr>
            </w:pPr>
            <w:r w:rsidRPr="0084067F">
              <w:rPr>
                <w:b/>
                <w:i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46 582,4</w:t>
            </w:r>
          </w:p>
        </w:tc>
        <w:tc>
          <w:tcPr>
            <w:tcW w:w="141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32 996,9</w:t>
            </w:r>
          </w:p>
        </w:tc>
        <w:tc>
          <w:tcPr>
            <w:tcW w:w="1383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-29,2</w:t>
            </w:r>
          </w:p>
        </w:tc>
      </w:tr>
      <w:tr w:rsidR="0084067F" w:rsidRPr="0084067F" w:rsidTr="00864DE0">
        <w:tc>
          <w:tcPr>
            <w:tcW w:w="5637" w:type="dxa"/>
          </w:tcPr>
          <w:p w:rsidR="0084067F" w:rsidRPr="0084067F" w:rsidRDefault="0084067F" w:rsidP="0084067F">
            <w:pPr>
              <w:ind w:right="-52"/>
              <w:rPr>
                <w:b/>
              </w:rPr>
            </w:pPr>
            <w:r w:rsidRPr="0084067F">
              <w:rPr>
                <w:b/>
              </w:rPr>
              <w:t>Налоговые и неналоговые доходы всего</w:t>
            </w:r>
          </w:p>
        </w:tc>
        <w:tc>
          <w:tcPr>
            <w:tcW w:w="1134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i/>
              </w:rPr>
            </w:pPr>
            <w:r w:rsidRPr="0084067F">
              <w:rPr>
                <w:i/>
              </w:rPr>
              <w:t>294 753,2</w:t>
            </w:r>
          </w:p>
        </w:tc>
        <w:tc>
          <w:tcPr>
            <w:tcW w:w="141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i/>
                <w:highlight w:val="yellow"/>
              </w:rPr>
            </w:pPr>
            <w:r w:rsidRPr="0084067F">
              <w:rPr>
                <w:i/>
              </w:rPr>
              <w:t>276 234,4</w:t>
            </w:r>
          </w:p>
        </w:tc>
        <w:tc>
          <w:tcPr>
            <w:tcW w:w="1383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i/>
              </w:rPr>
            </w:pPr>
            <w:r w:rsidRPr="0084067F">
              <w:rPr>
                <w:i/>
              </w:rPr>
              <w:t>-6,3</w:t>
            </w:r>
          </w:p>
        </w:tc>
      </w:tr>
      <w:tr w:rsidR="0084067F" w:rsidRPr="0084067F" w:rsidTr="00864DE0">
        <w:tc>
          <w:tcPr>
            <w:tcW w:w="5637" w:type="dxa"/>
          </w:tcPr>
          <w:p w:rsidR="0084067F" w:rsidRPr="0084067F" w:rsidRDefault="0084067F" w:rsidP="0084067F">
            <w:pPr>
              <w:ind w:right="-52"/>
              <w:rPr>
                <w:b/>
              </w:rPr>
            </w:pPr>
            <w:r w:rsidRPr="0084067F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739 970,0</w:t>
            </w:r>
          </w:p>
        </w:tc>
        <w:tc>
          <w:tcPr>
            <w:tcW w:w="141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2 173 625,1</w:t>
            </w:r>
          </w:p>
        </w:tc>
        <w:tc>
          <w:tcPr>
            <w:tcW w:w="1383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+193,7</w:t>
            </w:r>
          </w:p>
        </w:tc>
      </w:tr>
      <w:tr w:rsidR="0084067F" w:rsidRPr="0084067F" w:rsidTr="00864DE0">
        <w:tc>
          <w:tcPr>
            <w:tcW w:w="5637" w:type="dxa"/>
          </w:tcPr>
          <w:p w:rsidR="0084067F" w:rsidRPr="0084067F" w:rsidRDefault="0084067F" w:rsidP="0084067F">
            <w:pPr>
              <w:ind w:right="-725"/>
              <w:rPr>
                <w:i/>
              </w:rPr>
            </w:pPr>
            <w:r w:rsidRPr="0084067F">
              <w:rPr>
                <w:i/>
              </w:rPr>
              <w:t xml:space="preserve">в </w:t>
            </w:r>
            <w:proofErr w:type="spellStart"/>
            <w:r w:rsidRPr="0084067F">
              <w:rPr>
                <w:i/>
              </w:rPr>
              <w:t>т.ч</w:t>
            </w:r>
            <w:proofErr w:type="spellEnd"/>
            <w:r w:rsidRPr="0084067F">
              <w:rPr>
                <w:i/>
              </w:rPr>
              <w:t xml:space="preserve">. дотации на выравнивание бюджетной обеспеченности и на поддержку мер </w:t>
            </w:r>
          </w:p>
          <w:p w:rsidR="0084067F" w:rsidRPr="0084067F" w:rsidRDefault="0084067F" w:rsidP="0084067F">
            <w:pPr>
              <w:ind w:right="-725"/>
            </w:pPr>
            <w:r w:rsidRPr="0084067F">
              <w:rPr>
                <w:i/>
              </w:rPr>
              <w:t>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</w:pPr>
            <w:r w:rsidRPr="0084067F">
              <w:t>99 883,6</w:t>
            </w:r>
          </w:p>
        </w:tc>
        <w:tc>
          <w:tcPr>
            <w:tcW w:w="141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</w:pPr>
            <w:r w:rsidRPr="0084067F">
              <w:t>122 469,4</w:t>
            </w:r>
          </w:p>
        </w:tc>
        <w:tc>
          <w:tcPr>
            <w:tcW w:w="1383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</w:pPr>
            <w:r w:rsidRPr="0084067F">
              <w:t>+22,6</w:t>
            </w:r>
          </w:p>
        </w:tc>
      </w:tr>
      <w:tr w:rsidR="0084067F" w:rsidRPr="0084067F" w:rsidTr="00864DE0">
        <w:tc>
          <w:tcPr>
            <w:tcW w:w="5637" w:type="dxa"/>
          </w:tcPr>
          <w:p w:rsidR="0084067F" w:rsidRPr="0084067F" w:rsidRDefault="0084067F" w:rsidP="0084067F">
            <w:pPr>
              <w:ind w:right="-52"/>
              <w:rPr>
                <w:b/>
              </w:rPr>
            </w:pPr>
            <w:r w:rsidRPr="0084067F">
              <w:rPr>
                <w:b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1 034 723,2</w:t>
            </w:r>
          </w:p>
        </w:tc>
        <w:tc>
          <w:tcPr>
            <w:tcW w:w="1417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</w:rPr>
            </w:pPr>
            <w:r w:rsidRPr="0084067F">
              <w:rPr>
                <w:b/>
              </w:rPr>
              <w:t>2 449 859,5</w:t>
            </w:r>
          </w:p>
        </w:tc>
        <w:tc>
          <w:tcPr>
            <w:tcW w:w="1383" w:type="dxa"/>
            <w:vAlign w:val="center"/>
          </w:tcPr>
          <w:p w:rsidR="0084067F" w:rsidRPr="0084067F" w:rsidRDefault="0084067F" w:rsidP="0084067F">
            <w:pPr>
              <w:ind w:right="-52"/>
              <w:jc w:val="center"/>
              <w:rPr>
                <w:b/>
                <w:highlight w:val="yellow"/>
              </w:rPr>
            </w:pPr>
            <w:r w:rsidRPr="0084067F">
              <w:rPr>
                <w:b/>
              </w:rPr>
              <w:t>+136,8</w:t>
            </w:r>
          </w:p>
        </w:tc>
      </w:tr>
    </w:tbl>
    <w:p w:rsidR="0084067F" w:rsidRDefault="0084067F" w:rsidP="0084067F">
      <w:pPr>
        <w:autoSpaceDE w:val="0"/>
        <w:autoSpaceDN w:val="0"/>
        <w:adjustRightInd w:val="0"/>
        <w:jc w:val="both"/>
      </w:pPr>
    </w:p>
    <w:p w:rsidR="00ED1EA0" w:rsidRDefault="0084067F" w:rsidP="00ED1EA0">
      <w:pPr>
        <w:jc w:val="both"/>
      </w:pPr>
      <w:r w:rsidRPr="00126E81">
        <w:t xml:space="preserve">         В сравнении с аналогичным периодом прошлого года общая доходная база местного бюджета увеличилась на 1 415</w:t>
      </w:r>
      <w:r w:rsidR="00ED1EA0">
        <w:t> 136,3 тыс. руб. или на 136,8%.</w:t>
      </w:r>
      <w:r w:rsidR="00ED1EA0">
        <w:tab/>
      </w:r>
      <w:r w:rsidR="00ED1EA0">
        <w:tab/>
      </w:r>
      <w:r w:rsidR="00ED1EA0">
        <w:tab/>
      </w:r>
    </w:p>
    <w:p w:rsidR="00256730" w:rsidRDefault="00ED1EA0" w:rsidP="00ED1EA0">
      <w:pPr>
        <w:jc w:val="both"/>
      </w:pPr>
      <w:r>
        <w:t xml:space="preserve">        </w:t>
      </w:r>
      <w:r w:rsidR="00256730">
        <w:t>Поступление налоговых и неналоговых доходов в сравнении с аналогичным пе</w:t>
      </w:r>
      <w:r w:rsidR="0084067F">
        <w:t>риодом прошлого года уменьшилось на 18 518,8</w:t>
      </w:r>
      <w:r w:rsidR="00256730">
        <w:t xml:space="preserve"> тыс. руб. Безвозмездные пере</w:t>
      </w:r>
      <w:r w:rsidR="0084067F">
        <w:t>числения увеличились почти в 3 раза на 1 433 655,1</w:t>
      </w:r>
      <w:r w:rsidR="00256730">
        <w:t xml:space="preserve"> </w:t>
      </w:r>
      <w:proofErr w:type="spellStart"/>
      <w:r w:rsidR="00256730">
        <w:t>тыс</w:t>
      </w:r>
      <w:proofErr w:type="gramStart"/>
      <w:r w:rsidR="00256730">
        <w:t>.р</w:t>
      </w:r>
      <w:proofErr w:type="gramEnd"/>
      <w:r w:rsidR="00256730">
        <w:t>уб</w:t>
      </w:r>
      <w:proofErr w:type="spellEnd"/>
      <w:r w:rsidR="00256730">
        <w:t>, в связи с увеличением перечислений из областн</w:t>
      </w:r>
      <w:r w:rsidR="0084067F">
        <w:t>ого бюджета межбюджетных трансфертов в 2019 года на ликвидацию последствий наводнения произошедшего в июне 2019 года.</w:t>
      </w:r>
    </w:p>
    <w:p w:rsidR="00291E38" w:rsidRDefault="00291E38" w:rsidP="00ED1EA0">
      <w:pPr>
        <w:jc w:val="both"/>
      </w:pPr>
    </w:p>
    <w:p w:rsidR="00291E38" w:rsidRDefault="00291E38" w:rsidP="00ED1EA0">
      <w:pPr>
        <w:jc w:val="both"/>
      </w:pPr>
    </w:p>
    <w:p w:rsidR="00291E38" w:rsidRPr="00ED1EA0" w:rsidRDefault="00291E38" w:rsidP="00ED1EA0">
      <w:pPr>
        <w:jc w:val="both"/>
        <w:rPr>
          <w:highlight w:val="yellow"/>
        </w:rPr>
      </w:pPr>
    </w:p>
    <w:p w:rsidR="00324DC9" w:rsidRDefault="00324DC9" w:rsidP="0030444C">
      <w:pPr>
        <w:ind w:right="-142"/>
        <w:jc w:val="both"/>
      </w:pPr>
    </w:p>
    <w:p w:rsidR="002058AC" w:rsidRPr="00A57033" w:rsidRDefault="001E53C6" w:rsidP="001E53C6">
      <w:pPr>
        <w:autoSpaceDE w:val="0"/>
        <w:autoSpaceDN w:val="0"/>
        <w:adjustRightInd w:val="0"/>
        <w:ind w:firstLine="540"/>
        <w:jc w:val="both"/>
      </w:pPr>
      <w:r>
        <w:t xml:space="preserve">Анализ исполнения местного бюджета по видам доходов </w:t>
      </w:r>
      <w:r w:rsidR="002F0981">
        <w:t xml:space="preserve">и безвозмездным поступлениям </w:t>
      </w:r>
      <w:r w:rsidR="0084067F">
        <w:t>за 2019</w:t>
      </w:r>
      <w:r>
        <w:t xml:space="preserve"> год приведен в таблице № </w:t>
      </w:r>
      <w:r w:rsidR="00256730">
        <w:t>3</w:t>
      </w:r>
      <w:r>
        <w:t>.</w:t>
      </w:r>
    </w:p>
    <w:p w:rsidR="000F5823" w:rsidRPr="00A57033" w:rsidRDefault="000F5823" w:rsidP="008D3E17">
      <w:pPr>
        <w:ind w:right="-142" w:firstLine="540"/>
        <w:jc w:val="right"/>
      </w:pPr>
    </w:p>
    <w:p w:rsidR="0024058E" w:rsidRPr="004B1738" w:rsidRDefault="00BC2D0C" w:rsidP="004854C7">
      <w:pPr>
        <w:ind w:right="-142" w:firstLine="540"/>
        <w:jc w:val="right"/>
        <w:rPr>
          <w:b/>
          <w:sz w:val="20"/>
          <w:szCs w:val="20"/>
        </w:rPr>
      </w:pPr>
      <w:r w:rsidRPr="004B1738">
        <w:rPr>
          <w:b/>
          <w:sz w:val="20"/>
          <w:szCs w:val="20"/>
        </w:rPr>
        <w:t>Таблица №</w:t>
      </w:r>
      <w:r w:rsidR="00256730">
        <w:rPr>
          <w:b/>
          <w:sz w:val="20"/>
          <w:szCs w:val="20"/>
        </w:rPr>
        <w:t>3</w:t>
      </w:r>
      <w:r w:rsidRPr="004B1738">
        <w:rPr>
          <w:b/>
          <w:sz w:val="20"/>
          <w:szCs w:val="20"/>
        </w:rPr>
        <w:t xml:space="preserve"> (</w:t>
      </w:r>
      <w:proofErr w:type="spellStart"/>
      <w:r w:rsidRPr="004B1738">
        <w:rPr>
          <w:b/>
          <w:sz w:val="20"/>
          <w:szCs w:val="20"/>
        </w:rPr>
        <w:t>тыс</w:t>
      </w:r>
      <w:proofErr w:type="gramStart"/>
      <w:r w:rsidRPr="004B1738">
        <w:rPr>
          <w:b/>
          <w:sz w:val="20"/>
          <w:szCs w:val="20"/>
        </w:rPr>
        <w:t>.р</w:t>
      </w:r>
      <w:proofErr w:type="gramEnd"/>
      <w:r w:rsidRPr="004B1738">
        <w:rPr>
          <w:b/>
          <w:sz w:val="20"/>
          <w:szCs w:val="20"/>
        </w:rPr>
        <w:t>уб</w:t>
      </w:r>
      <w:proofErr w:type="spellEnd"/>
      <w:r w:rsidR="004B1738" w:rsidRPr="004B1738">
        <w:rPr>
          <w:b/>
          <w:sz w:val="20"/>
          <w:szCs w:val="20"/>
        </w:rPr>
        <w:t>.</w:t>
      </w:r>
      <w:r w:rsidRPr="004B1738">
        <w:rPr>
          <w:b/>
          <w:sz w:val="20"/>
          <w:szCs w:val="20"/>
        </w:rPr>
        <w:t>)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126"/>
        <w:gridCol w:w="1843"/>
        <w:gridCol w:w="1843"/>
      </w:tblGrid>
      <w:tr w:rsidR="001E53C6" w:rsidRPr="00A57033" w:rsidTr="008A1B1B">
        <w:trPr>
          <w:trHeight w:val="1405"/>
        </w:trPr>
        <w:tc>
          <w:tcPr>
            <w:tcW w:w="367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BD1003" w:rsidRDefault="00DD4D17" w:rsidP="00A63A90">
            <w:pPr>
              <w:jc w:val="center"/>
              <w:rPr>
                <w:sz w:val="18"/>
                <w:szCs w:val="18"/>
              </w:rPr>
            </w:pPr>
            <w:r w:rsidRPr="00BD1003">
              <w:rPr>
                <w:sz w:val="18"/>
                <w:szCs w:val="18"/>
                <w:lang w:eastAsia="en-US"/>
              </w:rPr>
              <w:t>Утверждено реш</w:t>
            </w:r>
            <w:r w:rsidR="005F2F42" w:rsidRPr="00BD1003">
              <w:rPr>
                <w:sz w:val="18"/>
                <w:szCs w:val="18"/>
                <w:lang w:eastAsia="en-US"/>
              </w:rPr>
              <w:t>ением Думы городского округа №30-ДГО от 27.12.2018</w:t>
            </w:r>
            <w:r w:rsidRPr="00BD1003">
              <w:rPr>
                <w:sz w:val="18"/>
                <w:szCs w:val="18"/>
                <w:lang w:eastAsia="en-US"/>
              </w:rPr>
              <w:t>г (с учетом изменений внесенных решением Думы городско</w:t>
            </w:r>
            <w:r w:rsidR="005F2F42" w:rsidRPr="00BD1003">
              <w:rPr>
                <w:sz w:val="18"/>
                <w:szCs w:val="18"/>
                <w:lang w:eastAsia="en-US"/>
              </w:rPr>
              <w:t>го округа №30-ДГО от 26.12.2019</w:t>
            </w:r>
            <w:r w:rsidRPr="00BD1003">
              <w:rPr>
                <w:sz w:val="18"/>
                <w:szCs w:val="18"/>
                <w:lang w:eastAsia="en-US"/>
              </w:rPr>
              <w:t>г</w:t>
            </w:r>
            <w:r w:rsidR="00350DDD">
              <w:rPr>
                <w:sz w:val="18"/>
                <w:szCs w:val="18"/>
                <w:lang w:eastAsia="en-US"/>
              </w:rPr>
              <w:t>, распор Комитета по финансам</w:t>
            </w:r>
            <w:r w:rsidRPr="00BD1003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71CC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  <w:r w:rsidR="00E71CC0">
              <w:rPr>
                <w:sz w:val="18"/>
                <w:szCs w:val="18"/>
              </w:rPr>
              <w:t xml:space="preserve"> </w:t>
            </w:r>
          </w:p>
          <w:p w:rsidR="001B05EB" w:rsidRPr="00A63A90" w:rsidRDefault="00E71CC0" w:rsidP="00A63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2019 год</w:t>
            </w:r>
          </w:p>
          <w:p w:rsidR="001E53C6" w:rsidRPr="00A63A90" w:rsidRDefault="001E53C6" w:rsidP="00A63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1E53C6" w:rsidRPr="00A63A90" w:rsidRDefault="001B05EB" w:rsidP="00A63A90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274 268,7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276 234,4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5F2F42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84714D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243 155,</w:t>
            </w:r>
            <w:r w:rsidR="008271D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84714D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243 237,5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84714D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118AA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157 850,0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156 764,9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1E53C6" w:rsidRPr="00A57033" w:rsidTr="000759B7">
        <w:trPr>
          <w:trHeight w:val="78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8118AA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товары (работы, услуги), реализуемые</w:t>
            </w:r>
            <w:r w:rsidR="001E53C6" w:rsidRPr="00A57033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118AA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13 389,2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40 089,2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40 462,5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23 678,8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8 615,0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8 925,9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5746BE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5746BE" w:rsidRPr="0084714D" w:rsidRDefault="005746BE" w:rsidP="0084714D">
            <w:pPr>
              <w:rPr>
                <w:sz w:val="20"/>
                <w:szCs w:val="20"/>
              </w:rPr>
            </w:pPr>
            <w:r w:rsidRPr="0084714D">
              <w:rPr>
                <w:sz w:val="20"/>
                <w:szCs w:val="20"/>
              </w:rPr>
              <w:t>Задолженность и пе</w:t>
            </w:r>
            <w:r w:rsidR="0084714D" w:rsidRPr="0084714D">
              <w:rPr>
                <w:sz w:val="20"/>
                <w:szCs w:val="20"/>
              </w:rPr>
              <w:t>рерасчеты по отмененным налогам</w:t>
            </w:r>
            <w:r w:rsidRPr="0084714D">
              <w:rPr>
                <w:sz w:val="20"/>
                <w:szCs w:val="20"/>
              </w:rPr>
              <w:t>, сборам</w:t>
            </w:r>
            <w:r w:rsidR="0084714D">
              <w:rPr>
                <w:sz w:val="20"/>
                <w:szCs w:val="20"/>
              </w:rPr>
              <w:t xml:space="preserve"> и иным обязательным платежам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746BE" w:rsidRPr="0084714D" w:rsidRDefault="0084714D" w:rsidP="000759B7">
            <w:pPr>
              <w:jc w:val="center"/>
              <w:rPr>
                <w:bCs/>
                <w:sz w:val="20"/>
                <w:szCs w:val="20"/>
              </w:rPr>
            </w:pPr>
            <w:r w:rsidRPr="0084714D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6BE" w:rsidRPr="0084714D" w:rsidRDefault="0084714D" w:rsidP="0007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746BE" w:rsidRPr="0084714D" w:rsidRDefault="0084714D" w:rsidP="000759B7">
            <w:pPr>
              <w:jc w:val="center"/>
              <w:rPr>
                <w:sz w:val="20"/>
                <w:szCs w:val="20"/>
              </w:rPr>
            </w:pPr>
            <w:r w:rsidRPr="0084714D">
              <w:rPr>
                <w:sz w:val="20"/>
                <w:szCs w:val="20"/>
              </w:rPr>
              <w:t>100,0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992030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 </w:t>
            </w:r>
            <w:r w:rsidR="008271DD">
              <w:rPr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992030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32 996,9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992030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118AA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21 442,2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8AA" w:rsidRPr="00A57033" w:rsidRDefault="005F2F42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21 593,7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8AA" w:rsidRPr="00466C7E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118AA" w:rsidRPr="00A57033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8AA" w:rsidRPr="00A57033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A1029" w:rsidRPr="00466C7E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A1029" w:rsidRPr="00A57033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A1029" w:rsidRPr="00A57033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A1029" w:rsidRPr="00466C7E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1E53C6" w:rsidRPr="00A57033" w:rsidTr="000759B7">
        <w:trPr>
          <w:trHeight w:val="52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A1029" w:rsidRPr="00A57033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A1029" w:rsidRPr="00A57033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A1029" w:rsidRPr="00466C7E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6 386,3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8271DD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76356">
              <w:rPr>
                <w:sz w:val="20"/>
                <w:szCs w:val="20"/>
              </w:rPr>
              <w:t xml:space="preserve"> 0</w:t>
            </w:r>
            <w:r w:rsidR="005746BE">
              <w:rPr>
                <w:sz w:val="20"/>
                <w:szCs w:val="20"/>
              </w:rPr>
              <w:t>21,5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466C7E" w:rsidRDefault="005746BE" w:rsidP="0007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0759B7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</w:tcPr>
          <w:p w:rsidR="000759B7" w:rsidRPr="000759B7" w:rsidRDefault="000759B7" w:rsidP="009E44C1">
            <w:pPr>
              <w:rPr>
                <w:bCs/>
                <w:sz w:val="20"/>
                <w:szCs w:val="20"/>
              </w:rPr>
            </w:pPr>
            <w:r w:rsidRPr="000759B7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759B7" w:rsidRDefault="000759B7" w:rsidP="00075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759B7" w:rsidRPr="000759B7" w:rsidRDefault="005746BE" w:rsidP="00075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59B7" w:rsidRDefault="000759B7" w:rsidP="000759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53C6" w:rsidRPr="00A57033" w:rsidTr="000759B7">
        <w:trPr>
          <w:trHeight w:val="315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A57033" w:rsidRDefault="001E53C6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A57033" w:rsidRDefault="005746BE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2 302 023,5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A57033" w:rsidRDefault="005746BE" w:rsidP="00075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2 173 625,1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3C6" w:rsidRPr="003371F3" w:rsidRDefault="005746BE" w:rsidP="00075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94,4</w:t>
            </w:r>
          </w:p>
        </w:tc>
      </w:tr>
      <w:tr w:rsidR="001E53C6" w:rsidRPr="00A57033" w:rsidTr="000759B7">
        <w:trPr>
          <w:trHeight w:val="450"/>
        </w:trPr>
        <w:tc>
          <w:tcPr>
            <w:tcW w:w="3678" w:type="dxa"/>
            <w:shd w:val="clear" w:color="auto" w:fill="auto"/>
            <w:vAlign w:val="center"/>
            <w:hideMark/>
          </w:tcPr>
          <w:p w:rsidR="001E53C6" w:rsidRPr="005D1C13" w:rsidRDefault="001E53C6" w:rsidP="009E44C1">
            <w:pPr>
              <w:rPr>
                <w:b/>
                <w:bCs/>
                <w:sz w:val="22"/>
                <w:szCs w:val="22"/>
              </w:rPr>
            </w:pPr>
            <w:r w:rsidRPr="005D1C1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E53C6" w:rsidRPr="005D1C13" w:rsidRDefault="005746BE" w:rsidP="000759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2 576 292,2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6193" w:rsidRPr="005D1C13" w:rsidRDefault="005746BE" w:rsidP="000759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3151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449 859,5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6193" w:rsidRPr="005D1C13" w:rsidRDefault="005746BE" w:rsidP="00075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95,1</w:t>
            </w:r>
          </w:p>
        </w:tc>
      </w:tr>
    </w:tbl>
    <w:p w:rsidR="0042725D" w:rsidRDefault="0042725D" w:rsidP="0042725D">
      <w:pPr>
        <w:autoSpaceDE w:val="0"/>
        <w:autoSpaceDN w:val="0"/>
        <w:adjustRightInd w:val="0"/>
        <w:jc w:val="both"/>
      </w:pPr>
    </w:p>
    <w:p w:rsidR="00E71CC0" w:rsidRDefault="00E71CC0" w:rsidP="008D3E17">
      <w:pPr>
        <w:autoSpaceDE w:val="0"/>
        <w:autoSpaceDN w:val="0"/>
        <w:adjustRightInd w:val="0"/>
        <w:ind w:firstLine="540"/>
        <w:jc w:val="both"/>
      </w:pPr>
    </w:p>
    <w:p w:rsidR="0054132E" w:rsidRDefault="00DB7783" w:rsidP="008D3E17">
      <w:pPr>
        <w:autoSpaceDE w:val="0"/>
        <w:autoSpaceDN w:val="0"/>
        <w:adjustRightInd w:val="0"/>
        <w:ind w:firstLine="540"/>
        <w:jc w:val="both"/>
      </w:pPr>
      <w:r w:rsidRPr="00A57033">
        <w:t>Из таблицы</w:t>
      </w:r>
      <w:r w:rsidR="00256730">
        <w:t xml:space="preserve"> № 3</w:t>
      </w:r>
      <w:r w:rsidRPr="00A57033">
        <w:t xml:space="preserve"> видно, что </w:t>
      </w:r>
      <w:r w:rsidR="0073151A">
        <w:t>за 2019</w:t>
      </w:r>
      <w:r w:rsidR="00D3792E">
        <w:t xml:space="preserve"> год </w:t>
      </w:r>
      <w:r w:rsidRPr="00A57033">
        <w:t xml:space="preserve"> </w:t>
      </w:r>
      <w:r>
        <w:t>н</w:t>
      </w:r>
      <w:r w:rsidR="008C3F3B" w:rsidRPr="008C3F3B">
        <w:t>а</w:t>
      </w:r>
      <w:r>
        <w:t xml:space="preserve">логовые доходы исполнены на </w:t>
      </w:r>
      <w:r w:rsidR="0073151A">
        <w:t>100,1</w:t>
      </w:r>
      <w:r>
        <w:t>% от утвержденных</w:t>
      </w:r>
      <w:r w:rsidR="008C3F3B" w:rsidRPr="008C3F3B">
        <w:t xml:space="preserve"> </w:t>
      </w:r>
      <w:r w:rsidR="005B7FC8">
        <w:t xml:space="preserve">бюджетных </w:t>
      </w:r>
      <w:r w:rsidR="008C3F3B" w:rsidRPr="008C3F3B">
        <w:t xml:space="preserve">назначений, неналоговые доходы  </w:t>
      </w:r>
      <w:r>
        <w:t xml:space="preserve">исполнены на </w:t>
      </w:r>
      <w:r w:rsidR="0073151A">
        <w:t>106,1%.</w:t>
      </w:r>
    </w:p>
    <w:p w:rsidR="0054132E" w:rsidRDefault="0054132E" w:rsidP="0054132E">
      <w:pPr>
        <w:autoSpaceDE w:val="0"/>
        <w:autoSpaceDN w:val="0"/>
        <w:adjustRightInd w:val="0"/>
        <w:ind w:firstLine="540"/>
        <w:jc w:val="both"/>
      </w:pPr>
      <w:r>
        <w:t>Объем безвозмездных поступлений исполнен</w:t>
      </w:r>
      <w:r w:rsidR="00DB7783">
        <w:t xml:space="preserve"> на </w:t>
      </w:r>
      <w:r w:rsidR="0073151A">
        <w:t>94,4</w:t>
      </w:r>
      <w:r w:rsidR="008C3F3B">
        <w:t>%</w:t>
      </w:r>
      <w:r w:rsidR="00983F07">
        <w:t xml:space="preserve"> </w:t>
      </w:r>
      <w:r>
        <w:t xml:space="preserve"> или не поступило </w:t>
      </w:r>
      <w:r w:rsidR="0073151A">
        <w:t>в доход местного бюджета 126 432,7</w:t>
      </w:r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руб.</w:t>
      </w:r>
    </w:p>
    <w:p w:rsidR="00DA3467" w:rsidRDefault="001E7AC6" w:rsidP="00E53845">
      <w:pPr>
        <w:ind w:firstLine="540"/>
        <w:jc w:val="both"/>
        <w:rPr>
          <w:color w:val="000000"/>
        </w:rPr>
      </w:pPr>
      <w:r w:rsidRPr="001E7AC6">
        <w:rPr>
          <w:color w:val="000000"/>
        </w:rPr>
        <w:t>Наибо</w:t>
      </w:r>
      <w:r>
        <w:rPr>
          <w:color w:val="000000"/>
        </w:rPr>
        <w:t>льший удельный вес по исполнению</w:t>
      </w:r>
      <w:r w:rsidRPr="001E7AC6">
        <w:rPr>
          <w:color w:val="000000"/>
        </w:rPr>
        <w:t xml:space="preserve"> налоговых и нен</w:t>
      </w:r>
      <w:r>
        <w:rPr>
          <w:color w:val="000000"/>
        </w:rPr>
        <w:t>алоговых доходов за 2019 год занимаю</w:t>
      </w:r>
      <w:r w:rsidRPr="001E7AC6">
        <w:rPr>
          <w:color w:val="000000"/>
        </w:rPr>
        <w:t>т налог на доходы физических лиц – 5</w:t>
      </w:r>
      <w:r>
        <w:rPr>
          <w:color w:val="000000"/>
        </w:rPr>
        <w:t>6,8</w:t>
      </w:r>
      <w:r w:rsidRPr="001E7AC6">
        <w:rPr>
          <w:color w:val="000000"/>
        </w:rPr>
        <w:t>% или 156</w:t>
      </w:r>
      <w:r>
        <w:rPr>
          <w:color w:val="000000"/>
        </w:rPr>
        <w:t xml:space="preserve"> 764,9 тыс</w:t>
      </w:r>
      <w:r w:rsidRPr="001E7AC6">
        <w:rPr>
          <w:color w:val="000000"/>
        </w:rPr>
        <w:t xml:space="preserve">. </w:t>
      </w:r>
      <w:proofErr w:type="spellStart"/>
      <w:r w:rsidRPr="001E7AC6">
        <w:rPr>
          <w:color w:val="000000"/>
        </w:rPr>
        <w:t>руб.</w:t>
      </w:r>
      <w:proofErr w:type="gramStart"/>
      <w:r w:rsidRPr="001E7AC6">
        <w:rPr>
          <w:color w:val="000000"/>
        </w:rPr>
        <w:t>,</w:t>
      </w:r>
      <w:r>
        <w:rPr>
          <w:color w:val="000000"/>
        </w:rPr>
        <w:t>н</w:t>
      </w:r>
      <w:proofErr w:type="gramEnd"/>
      <w:r>
        <w:rPr>
          <w:color w:val="000000"/>
        </w:rPr>
        <w:t>алог</w:t>
      </w:r>
      <w:proofErr w:type="spellEnd"/>
      <w:r>
        <w:rPr>
          <w:color w:val="000000"/>
        </w:rPr>
        <w:t xml:space="preserve"> на совокупный доход – 14,6% или 40 462,5 </w:t>
      </w:r>
      <w:proofErr w:type="spellStart"/>
      <w:r>
        <w:rPr>
          <w:color w:val="000000"/>
        </w:rPr>
        <w:t>тыс</w:t>
      </w:r>
      <w:r w:rsidRPr="001E7AC6">
        <w:rPr>
          <w:color w:val="000000"/>
        </w:rPr>
        <w:t>.руб</w:t>
      </w:r>
      <w:proofErr w:type="spellEnd"/>
      <w:r w:rsidRPr="001E7AC6">
        <w:rPr>
          <w:color w:val="000000"/>
        </w:rPr>
        <w:t xml:space="preserve">., </w:t>
      </w:r>
      <w:r>
        <w:rPr>
          <w:color w:val="000000"/>
        </w:rPr>
        <w:t xml:space="preserve">налог на имущество </w:t>
      </w:r>
      <w:r w:rsidR="00E61B69">
        <w:rPr>
          <w:color w:val="000000"/>
        </w:rPr>
        <w:t xml:space="preserve">– 8,6% или 23 678,8 </w:t>
      </w:r>
      <w:proofErr w:type="spellStart"/>
      <w:r w:rsidR="00E61B69">
        <w:rPr>
          <w:color w:val="000000"/>
        </w:rPr>
        <w:t>тыс.руб</w:t>
      </w:r>
      <w:proofErr w:type="spellEnd"/>
      <w:r w:rsidR="00E61B69">
        <w:rPr>
          <w:color w:val="000000"/>
        </w:rPr>
        <w:t xml:space="preserve">., </w:t>
      </w:r>
      <w:r w:rsidRPr="001E7AC6">
        <w:rPr>
          <w:color w:val="000000"/>
        </w:rPr>
        <w:t xml:space="preserve">доходы </w:t>
      </w:r>
      <w:r w:rsidR="00E61B69">
        <w:rPr>
          <w:color w:val="000000"/>
        </w:rPr>
        <w:t xml:space="preserve">от использования имущества – 7,8% или 21 593,7 </w:t>
      </w:r>
      <w:proofErr w:type="spellStart"/>
      <w:r w:rsidR="00E61B69">
        <w:rPr>
          <w:color w:val="000000"/>
        </w:rPr>
        <w:t>тыс.руб</w:t>
      </w:r>
      <w:proofErr w:type="spellEnd"/>
      <w:r w:rsidR="00E61B69">
        <w:rPr>
          <w:color w:val="000000"/>
        </w:rPr>
        <w:t>.</w:t>
      </w:r>
    </w:p>
    <w:p w:rsidR="00E53845" w:rsidRDefault="00E53845" w:rsidP="00E53845">
      <w:pPr>
        <w:ind w:firstLine="540"/>
        <w:jc w:val="both"/>
        <w:rPr>
          <w:color w:val="000000"/>
        </w:rPr>
      </w:pPr>
    </w:p>
    <w:p w:rsidR="00E53845" w:rsidRDefault="00E53845" w:rsidP="00E53845">
      <w:pPr>
        <w:ind w:firstLine="540"/>
        <w:jc w:val="both"/>
        <w:rPr>
          <w:color w:val="000000"/>
        </w:rPr>
      </w:pPr>
    </w:p>
    <w:p w:rsidR="00E53845" w:rsidRDefault="00E53845" w:rsidP="00E53845">
      <w:pPr>
        <w:ind w:firstLine="540"/>
        <w:jc w:val="both"/>
        <w:rPr>
          <w:color w:val="000000"/>
        </w:rPr>
      </w:pPr>
    </w:p>
    <w:p w:rsidR="00E53845" w:rsidRDefault="00E53845" w:rsidP="00E53845">
      <w:pPr>
        <w:ind w:firstLine="540"/>
        <w:jc w:val="both"/>
        <w:rPr>
          <w:color w:val="000000"/>
        </w:rPr>
      </w:pPr>
    </w:p>
    <w:p w:rsidR="00E71CC0" w:rsidRPr="00E53845" w:rsidRDefault="00E71CC0" w:rsidP="00E53845">
      <w:pPr>
        <w:ind w:firstLine="540"/>
        <w:jc w:val="both"/>
        <w:rPr>
          <w:color w:val="000000"/>
        </w:rPr>
      </w:pPr>
    </w:p>
    <w:p w:rsidR="00BC2D0C" w:rsidRPr="00A57033" w:rsidRDefault="00D4308E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>
        <w:rPr>
          <w:b/>
        </w:rPr>
        <w:lastRenderedPageBreak/>
        <w:t>4.2</w:t>
      </w:r>
      <w:r w:rsidR="00BC2D0C" w:rsidRPr="00A57033">
        <w:rPr>
          <w:b/>
        </w:rPr>
        <w:t>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Default="00525C15" w:rsidP="0089377F">
      <w:pPr>
        <w:ind w:firstLine="540"/>
        <w:jc w:val="both"/>
      </w:pPr>
      <w:r>
        <w:t xml:space="preserve">Первоначально  </w:t>
      </w:r>
      <w:r w:rsidR="00BC2D0C" w:rsidRPr="00A57033">
        <w:t xml:space="preserve"> </w:t>
      </w:r>
      <w:r>
        <w:t>решением</w:t>
      </w:r>
      <w:r w:rsidR="004A4152" w:rsidRPr="00A57033">
        <w:t xml:space="preserve"> о бюджете</w:t>
      </w:r>
      <w:r>
        <w:t xml:space="preserve"> </w:t>
      </w:r>
      <w:r w:rsidR="00682E3D" w:rsidRPr="00A57033">
        <w:t xml:space="preserve">от </w:t>
      </w:r>
      <w:r w:rsidR="0016253D">
        <w:t>27.12.2018</w:t>
      </w:r>
      <w:r w:rsidR="00682E3D">
        <w:t>г.</w:t>
      </w:r>
      <w:r w:rsidR="0016253D">
        <w:t xml:space="preserve"> № 30</w:t>
      </w:r>
      <w:r w:rsidR="00682E3D" w:rsidRPr="00C04607">
        <w:t>-ДГО</w:t>
      </w:r>
      <w:r w:rsidR="00BC2D0C" w:rsidRPr="00A57033">
        <w:t xml:space="preserve"> общий объем расходов местного бюджета на 201</w:t>
      </w:r>
      <w:r w:rsidR="0016253D">
        <w:t>9</w:t>
      </w:r>
      <w:r w:rsidR="00BC2D0C" w:rsidRPr="00A57033">
        <w:t xml:space="preserve"> год </w:t>
      </w:r>
      <w:r w:rsidR="004A4152" w:rsidRPr="00A57033">
        <w:t xml:space="preserve">был </w:t>
      </w:r>
      <w:r w:rsidR="00BC2D0C" w:rsidRPr="00A57033">
        <w:t xml:space="preserve">утвержден в </w:t>
      </w:r>
      <w:r w:rsidR="004A4152" w:rsidRPr="00A57033">
        <w:t>размере</w:t>
      </w:r>
      <w:r w:rsidR="0016253D">
        <w:t xml:space="preserve"> 943 520,4</w:t>
      </w:r>
      <w:r w:rsidR="00BC2D0C" w:rsidRPr="00A57033">
        <w:t xml:space="preserve"> </w:t>
      </w:r>
      <w:proofErr w:type="spellStart"/>
      <w:r w:rsidR="00BC2D0C" w:rsidRPr="00A57033">
        <w:t>тыс</w:t>
      </w:r>
      <w:proofErr w:type="gramStart"/>
      <w:r w:rsidR="00BC2D0C" w:rsidRPr="00A57033">
        <w:t>.р</w:t>
      </w:r>
      <w:proofErr w:type="gramEnd"/>
      <w:r w:rsidR="00BC2D0C" w:rsidRPr="00A57033">
        <w:t>уб</w:t>
      </w:r>
      <w:proofErr w:type="spellEnd"/>
      <w:r w:rsidR="00BC2D0C" w:rsidRPr="00A57033">
        <w:t>.</w:t>
      </w:r>
      <w:r w:rsidR="00725D99">
        <w:t xml:space="preserve"> </w:t>
      </w:r>
      <w:r w:rsidR="00DD4D17">
        <w:t xml:space="preserve">В связи с </w:t>
      </w:r>
      <w:r w:rsidR="00725D99">
        <w:t xml:space="preserve"> увеличени</w:t>
      </w:r>
      <w:r w:rsidR="00DD4D17">
        <w:t>ем</w:t>
      </w:r>
      <w:r w:rsidR="00725D99">
        <w:t xml:space="preserve"> объема межбюджетных трансфертов</w:t>
      </w:r>
      <w:r w:rsidR="001D7B32">
        <w:t xml:space="preserve"> плановый</w:t>
      </w:r>
      <w:r w:rsidR="00725D99">
        <w:t xml:space="preserve"> объем  расходов местного бюджета </w:t>
      </w:r>
      <w:r w:rsidR="0016253D">
        <w:t>на 2019</w:t>
      </w:r>
      <w:r w:rsidR="0008754E">
        <w:t xml:space="preserve"> год </w:t>
      </w:r>
      <w:r w:rsidR="00AF4AB4">
        <w:t>увеличился на 1 650 281,1</w:t>
      </w:r>
      <w:r w:rsidR="00AF4AB4" w:rsidRPr="00AF4AB4">
        <w:t xml:space="preserve"> </w:t>
      </w:r>
      <w:proofErr w:type="spellStart"/>
      <w:r w:rsidR="00AF4AB4">
        <w:t>тыс.руб</w:t>
      </w:r>
      <w:proofErr w:type="spellEnd"/>
      <w:r w:rsidR="00AF4AB4">
        <w:t>.   или почти в 3 раза</w:t>
      </w:r>
      <w:r w:rsidR="00DD4D17">
        <w:t xml:space="preserve">  и </w:t>
      </w:r>
      <w:r w:rsidR="0008754E">
        <w:t xml:space="preserve">составил </w:t>
      </w:r>
      <w:r w:rsidR="00AF4AB4">
        <w:t xml:space="preserve">2 593 801,5 </w:t>
      </w:r>
      <w:proofErr w:type="spellStart"/>
      <w:r w:rsidR="0008754E">
        <w:t>тыс.руб</w:t>
      </w:r>
      <w:proofErr w:type="spellEnd"/>
      <w:r w:rsidR="00725D99">
        <w:t>.</w:t>
      </w:r>
    </w:p>
    <w:p w:rsidR="00AE431E" w:rsidRDefault="00030922" w:rsidP="0089377F">
      <w:pPr>
        <w:ind w:firstLine="540"/>
        <w:jc w:val="both"/>
      </w:pPr>
      <w:r>
        <w:t>За 2019</w:t>
      </w:r>
      <w:r w:rsidR="00AE431E" w:rsidRPr="00CA3915">
        <w:t xml:space="preserve"> год расходы  местного бюджета составили  </w:t>
      </w:r>
      <w:r w:rsidRPr="00BF3EA0">
        <w:rPr>
          <w:b/>
        </w:rPr>
        <w:t>2 352 258,4</w:t>
      </w:r>
      <w:r w:rsidR="00AE431E" w:rsidRPr="00BF3EA0">
        <w:rPr>
          <w:b/>
        </w:rPr>
        <w:t xml:space="preserve"> </w:t>
      </w:r>
      <w:proofErr w:type="spellStart"/>
      <w:r w:rsidR="00AE431E" w:rsidRPr="00BF3EA0">
        <w:rPr>
          <w:b/>
        </w:rPr>
        <w:t>тыс</w:t>
      </w:r>
      <w:proofErr w:type="gramStart"/>
      <w:r w:rsidR="00AE431E" w:rsidRPr="00BF3EA0">
        <w:rPr>
          <w:b/>
        </w:rPr>
        <w:t>.р</w:t>
      </w:r>
      <w:proofErr w:type="gramEnd"/>
      <w:r w:rsidR="00AE431E" w:rsidRPr="00BF3EA0">
        <w:rPr>
          <w:b/>
        </w:rPr>
        <w:t>уб</w:t>
      </w:r>
      <w:proofErr w:type="spellEnd"/>
      <w:r w:rsidR="00AE431E" w:rsidRPr="00CA3915">
        <w:t>.</w:t>
      </w:r>
      <w:r>
        <w:t xml:space="preserve"> или </w:t>
      </w:r>
      <w:r w:rsidRPr="00291E38">
        <w:rPr>
          <w:b/>
        </w:rPr>
        <w:t>90,7</w:t>
      </w:r>
      <w:r w:rsidR="00AE431E" w:rsidRPr="00291E38">
        <w:rPr>
          <w:b/>
        </w:rPr>
        <w:t>%</w:t>
      </w:r>
      <w:r w:rsidR="00AE431E" w:rsidRPr="00CA3915">
        <w:t xml:space="preserve">  к утвержденным бюджетным назначениям.</w:t>
      </w:r>
    </w:p>
    <w:p w:rsidR="00BD1003" w:rsidRPr="00CA3915" w:rsidRDefault="00BD1003" w:rsidP="0089377F">
      <w:pPr>
        <w:ind w:firstLine="540"/>
        <w:jc w:val="both"/>
      </w:pPr>
    </w:p>
    <w:p w:rsidR="00AE431E" w:rsidRDefault="00C66AAD" w:rsidP="0089377F">
      <w:pPr>
        <w:ind w:firstLine="540"/>
        <w:jc w:val="both"/>
      </w:pPr>
      <w:r w:rsidRPr="00BD1003">
        <w:rPr>
          <w:b/>
          <w:i/>
        </w:rPr>
        <w:t>Исполнение расходной части бюджета</w:t>
      </w:r>
      <w:r w:rsidR="00030922" w:rsidRPr="00BD1003">
        <w:rPr>
          <w:b/>
          <w:i/>
        </w:rPr>
        <w:t xml:space="preserve"> за 2019</w:t>
      </w:r>
      <w:r w:rsidRPr="00BD1003">
        <w:rPr>
          <w:b/>
          <w:i/>
        </w:rPr>
        <w:t xml:space="preserve"> год в разрезе ведомственной структуры расходов бюджета характеризуется следующими показателями</w:t>
      </w:r>
      <w:r>
        <w:t>:</w:t>
      </w:r>
    </w:p>
    <w:p w:rsidR="00C66AAD" w:rsidRDefault="00C66AAD" w:rsidP="0089377F">
      <w:pPr>
        <w:ind w:firstLine="540"/>
        <w:jc w:val="both"/>
      </w:pPr>
      <w:r>
        <w:t>Главными распорядителями бюджетных средств являлись:</w:t>
      </w:r>
    </w:p>
    <w:p w:rsidR="005B7655" w:rsidRPr="00030922" w:rsidRDefault="005B7655" w:rsidP="0089377F">
      <w:pPr>
        <w:ind w:firstLine="540"/>
        <w:jc w:val="both"/>
        <w:rPr>
          <w:i/>
        </w:rPr>
      </w:pPr>
      <w:r>
        <w:t>-</w:t>
      </w:r>
      <w:r w:rsidR="004478AA">
        <w:t xml:space="preserve"> </w:t>
      </w:r>
      <w:r>
        <w:t>МУ «Администрация города Тулуна» (910) касс</w:t>
      </w:r>
      <w:r w:rsidR="00030922">
        <w:t>овые выплаты составили 974 961,7</w:t>
      </w:r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</w:t>
      </w:r>
      <w:r w:rsidRPr="00BF3EA0">
        <w:t xml:space="preserve">или </w:t>
      </w:r>
      <w:r w:rsidR="00BF3EA0" w:rsidRPr="00E53845">
        <w:rPr>
          <w:b/>
        </w:rPr>
        <w:t>41,4</w:t>
      </w:r>
      <w:r w:rsidR="004478AA" w:rsidRPr="00BF3EA0">
        <w:t>%</w:t>
      </w:r>
      <w:r w:rsidR="004478AA">
        <w:t xml:space="preserve"> от всех произведенных расходов. </w:t>
      </w:r>
      <w:r w:rsidR="004478AA" w:rsidRPr="00030922">
        <w:rPr>
          <w:i/>
        </w:rPr>
        <w:t xml:space="preserve">Главным распорядителем бюджетных средств </w:t>
      </w:r>
      <w:r w:rsidR="00030922" w:rsidRPr="00030922">
        <w:rPr>
          <w:i/>
        </w:rPr>
        <w:t>МУ «Администрация города Тулуна»</w:t>
      </w:r>
      <w:r w:rsidR="00030922">
        <w:t xml:space="preserve"> </w:t>
      </w:r>
      <w:r w:rsidR="004478AA" w:rsidRPr="00030922">
        <w:rPr>
          <w:i/>
        </w:rPr>
        <w:t>не приняты меры к исполнению расходн</w:t>
      </w:r>
      <w:r w:rsidR="00030922" w:rsidRPr="00030922">
        <w:rPr>
          <w:i/>
        </w:rPr>
        <w:t>ых обязательств на сумму 215 944,6</w:t>
      </w:r>
      <w:r w:rsidR="004478AA" w:rsidRPr="00030922">
        <w:rPr>
          <w:i/>
        </w:rPr>
        <w:t xml:space="preserve"> тыс</w:t>
      </w:r>
      <w:r w:rsidR="00C5106F">
        <w:rPr>
          <w:i/>
        </w:rPr>
        <w:t>.</w:t>
      </w:r>
      <w:r w:rsidR="004478AA" w:rsidRPr="00030922">
        <w:rPr>
          <w:i/>
        </w:rPr>
        <w:t xml:space="preserve"> руб</w:t>
      </w:r>
      <w:r w:rsidR="00C5106F">
        <w:rPr>
          <w:i/>
        </w:rPr>
        <w:t>.</w:t>
      </w:r>
      <w:r w:rsidR="00C5106F" w:rsidRPr="00C5106F">
        <w:rPr>
          <w:i/>
        </w:rPr>
        <w:t xml:space="preserve"> </w:t>
      </w:r>
      <w:r w:rsidR="00C5106F">
        <w:rPr>
          <w:i/>
        </w:rPr>
        <w:t>или 1</w:t>
      </w:r>
      <w:r w:rsidR="00C5106F" w:rsidRPr="00C5106F">
        <w:rPr>
          <w:i/>
        </w:rPr>
        <w:t>8</w:t>
      </w:r>
      <w:r w:rsidR="00C5106F">
        <w:rPr>
          <w:i/>
        </w:rPr>
        <w:t>,1</w:t>
      </w:r>
      <w:r w:rsidR="00C5106F" w:rsidRPr="00C5106F">
        <w:rPr>
          <w:i/>
        </w:rPr>
        <w:t>% от утвержденных назначений</w:t>
      </w:r>
      <w:r w:rsidR="004478AA" w:rsidRPr="00030922">
        <w:rPr>
          <w:i/>
        </w:rPr>
        <w:t>;</w:t>
      </w:r>
    </w:p>
    <w:p w:rsidR="004478AA" w:rsidRPr="00C5106F" w:rsidRDefault="004478AA" w:rsidP="0089377F">
      <w:pPr>
        <w:ind w:firstLine="540"/>
        <w:jc w:val="both"/>
        <w:rPr>
          <w:i/>
        </w:rPr>
      </w:pPr>
      <w:r>
        <w:t>- МКУ «Комитет социальной политики города Тулуна» (911) касс</w:t>
      </w:r>
      <w:r w:rsidR="00C5106F">
        <w:t xml:space="preserve">овые выплаты составили </w:t>
      </w:r>
      <w:r>
        <w:t xml:space="preserve"> </w:t>
      </w:r>
      <w:r w:rsidR="00C5106F">
        <w:t>1</w:t>
      </w:r>
      <w:r w:rsidR="00BF3EA0">
        <w:t> </w:t>
      </w:r>
      <w:r w:rsidR="00C5106F">
        <w:t>363</w:t>
      </w:r>
      <w:r w:rsidR="00BF3EA0">
        <w:t xml:space="preserve"> </w:t>
      </w:r>
      <w:r w:rsidR="00C5106F">
        <w:t xml:space="preserve">038,4 </w:t>
      </w:r>
      <w:proofErr w:type="spellStart"/>
      <w:r>
        <w:t>тыс</w:t>
      </w:r>
      <w:proofErr w:type="gramStart"/>
      <w:r w:rsidR="00C5106F">
        <w:t>.</w:t>
      </w:r>
      <w:r>
        <w:t>р</w:t>
      </w:r>
      <w:proofErr w:type="gramEnd"/>
      <w:r>
        <w:t>уб</w:t>
      </w:r>
      <w:proofErr w:type="spellEnd"/>
      <w:r w:rsidR="00C5106F">
        <w:t>.</w:t>
      </w:r>
      <w:r>
        <w:t xml:space="preserve"> или </w:t>
      </w:r>
      <w:r w:rsidR="00BF3EA0" w:rsidRPr="00E53845">
        <w:rPr>
          <w:b/>
        </w:rPr>
        <w:t>58%</w:t>
      </w:r>
      <w:r w:rsidR="00BF3EA0">
        <w:t xml:space="preserve"> </w:t>
      </w:r>
      <w:r>
        <w:t xml:space="preserve">от всех произведенных расходов. </w:t>
      </w:r>
      <w:r w:rsidRPr="00C5106F">
        <w:rPr>
          <w:i/>
        </w:rPr>
        <w:t xml:space="preserve">Главным распорядителем бюджетных средств </w:t>
      </w:r>
      <w:r w:rsidR="00C5106F" w:rsidRPr="00C5106F">
        <w:rPr>
          <w:i/>
        </w:rPr>
        <w:t xml:space="preserve">МКУ «Комитет социальной политики города Тулуна» </w:t>
      </w:r>
      <w:r w:rsidRPr="00C5106F">
        <w:rPr>
          <w:i/>
        </w:rPr>
        <w:t>не приняты меры к исполнению расходны</w:t>
      </w:r>
      <w:r w:rsidR="00C5106F" w:rsidRPr="00C5106F">
        <w:rPr>
          <w:i/>
        </w:rPr>
        <w:t>х обязательств на сумму 25 383,7</w:t>
      </w:r>
      <w:r w:rsidRPr="00C5106F">
        <w:rPr>
          <w:i/>
        </w:rPr>
        <w:t xml:space="preserve"> </w:t>
      </w:r>
      <w:proofErr w:type="spellStart"/>
      <w:r w:rsidRPr="00C5106F">
        <w:rPr>
          <w:i/>
        </w:rPr>
        <w:t>тыс</w:t>
      </w:r>
      <w:proofErr w:type="gramStart"/>
      <w:r w:rsidR="00C5106F" w:rsidRPr="00C5106F">
        <w:rPr>
          <w:i/>
        </w:rPr>
        <w:t>.</w:t>
      </w:r>
      <w:r w:rsidRPr="00C5106F">
        <w:rPr>
          <w:i/>
        </w:rPr>
        <w:t>р</w:t>
      </w:r>
      <w:proofErr w:type="gramEnd"/>
      <w:r w:rsidRPr="00C5106F">
        <w:rPr>
          <w:i/>
        </w:rPr>
        <w:t>уб</w:t>
      </w:r>
      <w:proofErr w:type="spellEnd"/>
      <w:r w:rsidR="00C5106F" w:rsidRPr="00C5106F">
        <w:rPr>
          <w:i/>
        </w:rPr>
        <w:t>. или 1,8% от утвержденных назначений</w:t>
      </w:r>
      <w:r w:rsidRPr="00C5106F">
        <w:rPr>
          <w:i/>
        </w:rPr>
        <w:t>;</w:t>
      </w:r>
    </w:p>
    <w:p w:rsidR="004478AA" w:rsidRDefault="004478AA" w:rsidP="0089377F">
      <w:pPr>
        <w:ind w:firstLine="540"/>
        <w:jc w:val="both"/>
      </w:pPr>
      <w:r>
        <w:t xml:space="preserve">- МУ «Дума города Тулуна» (912) </w:t>
      </w:r>
      <w:r w:rsidRPr="004478AA">
        <w:t xml:space="preserve">кассовые выплаты составили </w:t>
      </w:r>
      <w:r w:rsidR="002809DF">
        <w:t>8 728,0</w:t>
      </w:r>
      <w:r w:rsidRPr="004478AA">
        <w:t xml:space="preserve"> </w:t>
      </w:r>
      <w:proofErr w:type="spellStart"/>
      <w:r w:rsidRPr="004478AA">
        <w:t>тыс</w:t>
      </w:r>
      <w:proofErr w:type="gramStart"/>
      <w:r w:rsidR="00C5106F">
        <w:t>.</w:t>
      </w:r>
      <w:r w:rsidRPr="004478AA">
        <w:t>р</w:t>
      </w:r>
      <w:proofErr w:type="gramEnd"/>
      <w:r w:rsidRPr="004478AA">
        <w:t>уб</w:t>
      </w:r>
      <w:proofErr w:type="spellEnd"/>
      <w:r w:rsidR="00C5106F">
        <w:t>.</w:t>
      </w:r>
      <w:r w:rsidRPr="004478AA">
        <w:t xml:space="preserve"> или </w:t>
      </w:r>
      <w:r w:rsidR="00BF3EA0" w:rsidRPr="00E53845">
        <w:rPr>
          <w:b/>
        </w:rPr>
        <w:t>0,4</w:t>
      </w:r>
      <w:r w:rsidRPr="00E53845">
        <w:rPr>
          <w:b/>
        </w:rPr>
        <w:t>%</w:t>
      </w:r>
      <w:r w:rsidRPr="004478AA">
        <w:t xml:space="preserve"> от всех произведенных расходов. </w:t>
      </w:r>
      <w:r w:rsidRPr="002809DF">
        <w:rPr>
          <w:i/>
        </w:rPr>
        <w:t xml:space="preserve">Главным распорядителем бюджетных средств </w:t>
      </w:r>
      <w:r w:rsidR="002809DF" w:rsidRPr="002809DF">
        <w:rPr>
          <w:i/>
        </w:rPr>
        <w:t xml:space="preserve">МУ «Дума города Тулуна» </w:t>
      </w:r>
      <w:r w:rsidRPr="002809DF">
        <w:rPr>
          <w:i/>
        </w:rPr>
        <w:t xml:space="preserve">не приняты меры к исполнению расходных обязательств на сумму </w:t>
      </w:r>
      <w:r w:rsidR="002809DF" w:rsidRPr="002809DF">
        <w:rPr>
          <w:i/>
        </w:rPr>
        <w:t>214,8</w:t>
      </w:r>
      <w:r w:rsidRPr="002809DF">
        <w:rPr>
          <w:i/>
        </w:rPr>
        <w:t xml:space="preserve"> </w:t>
      </w:r>
      <w:proofErr w:type="spellStart"/>
      <w:r w:rsidRPr="002809DF">
        <w:rPr>
          <w:i/>
        </w:rPr>
        <w:t>тыс</w:t>
      </w:r>
      <w:proofErr w:type="gramStart"/>
      <w:r w:rsidR="00C5106F" w:rsidRPr="002809DF">
        <w:rPr>
          <w:i/>
        </w:rPr>
        <w:t>.</w:t>
      </w:r>
      <w:r w:rsidRPr="002809DF">
        <w:rPr>
          <w:i/>
        </w:rPr>
        <w:t>р</w:t>
      </w:r>
      <w:proofErr w:type="gramEnd"/>
      <w:r w:rsidRPr="002809DF">
        <w:rPr>
          <w:i/>
        </w:rPr>
        <w:t>уб</w:t>
      </w:r>
      <w:proofErr w:type="spellEnd"/>
      <w:r w:rsidR="00C5106F" w:rsidRPr="002809DF">
        <w:rPr>
          <w:i/>
        </w:rPr>
        <w:t>.</w:t>
      </w:r>
      <w:r w:rsidR="002809DF" w:rsidRPr="002809DF">
        <w:rPr>
          <w:i/>
        </w:rPr>
        <w:t xml:space="preserve"> </w:t>
      </w:r>
      <w:r w:rsidR="002809DF">
        <w:rPr>
          <w:i/>
        </w:rPr>
        <w:t>или 2,4</w:t>
      </w:r>
      <w:r w:rsidR="002809DF" w:rsidRPr="00C5106F">
        <w:rPr>
          <w:i/>
        </w:rPr>
        <w:t>% от утвержденных назначений</w:t>
      </w:r>
      <w:r>
        <w:t>;</w:t>
      </w:r>
    </w:p>
    <w:p w:rsidR="00126E81" w:rsidRDefault="004478AA" w:rsidP="00E53845">
      <w:pPr>
        <w:ind w:firstLine="540"/>
        <w:jc w:val="both"/>
      </w:pPr>
      <w:r>
        <w:t xml:space="preserve">- </w:t>
      </w:r>
      <w:proofErr w:type="spellStart"/>
      <w:r>
        <w:t>Тулунская</w:t>
      </w:r>
      <w:proofErr w:type="spellEnd"/>
      <w:r>
        <w:t xml:space="preserve">  городская территориальная избирательная комиссия (913) </w:t>
      </w:r>
      <w:r w:rsidRPr="004478AA">
        <w:t xml:space="preserve">кассовые выплаты составили </w:t>
      </w:r>
      <w:r w:rsidR="002809DF">
        <w:t>5 530,3</w:t>
      </w:r>
      <w:r w:rsidRPr="004478AA">
        <w:t xml:space="preserve"> </w:t>
      </w:r>
      <w:proofErr w:type="spellStart"/>
      <w:r w:rsidRPr="004478AA">
        <w:t>тыс</w:t>
      </w:r>
      <w:proofErr w:type="gramStart"/>
      <w:r w:rsidR="00C5106F">
        <w:t>.</w:t>
      </w:r>
      <w:r w:rsidRPr="004478AA">
        <w:t>р</w:t>
      </w:r>
      <w:proofErr w:type="gramEnd"/>
      <w:r w:rsidRPr="004478AA">
        <w:t>уб</w:t>
      </w:r>
      <w:proofErr w:type="spellEnd"/>
      <w:r w:rsidR="00C5106F">
        <w:t>.</w:t>
      </w:r>
      <w:r w:rsidRPr="004478AA">
        <w:t xml:space="preserve"> </w:t>
      </w:r>
      <w:r w:rsidRPr="00AF2D08">
        <w:t xml:space="preserve">или </w:t>
      </w:r>
      <w:r w:rsidR="00AF2D08" w:rsidRPr="00E53845">
        <w:rPr>
          <w:b/>
        </w:rPr>
        <w:t>0,2</w:t>
      </w:r>
      <w:r w:rsidRPr="00E53845">
        <w:rPr>
          <w:b/>
        </w:rPr>
        <w:t>%</w:t>
      </w:r>
      <w:r w:rsidRPr="004478AA">
        <w:t xml:space="preserve"> от всех произведенных расходов. </w:t>
      </w:r>
      <w:r>
        <w:t>Исполнение составило 100%.</w:t>
      </w:r>
    </w:p>
    <w:p w:rsidR="00661557" w:rsidRPr="00EA3CCC" w:rsidRDefault="00661557" w:rsidP="0066155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EA3CCC">
        <w:rPr>
          <w:b/>
          <w:i/>
        </w:rPr>
        <w:t xml:space="preserve">В приложение </w:t>
      </w:r>
      <w:r>
        <w:rPr>
          <w:b/>
          <w:i/>
        </w:rPr>
        <w:t>№2</w:t>
      </w:r>
      <w:r w:rsidRPr="00EA3CCC">
        <w:rPr>
          <w:b/>
          <w:i/>
        </w:rPr>
        <w:t xml:space="preserve"> к </w:t>
      </w:r>
      <w:r w:rsidRPr="001315E4">
        <w:rPr>
          <w:b/>
          <w:i/>
        </w:rPr>
        <w:t>Проекту решения Думы городского округа «Об утверждении отчета об исполнении бюджета муниципального образования – «город Тулун» за 2019 год»</w:t>
      </w:r>
      <w:r>
        <w:t xml:space="preserve"> </w:t>
      </w:r>
      <w:r w:rsidRPr="00EA3CCC">
        <w:rPr>
          <w:b/>
          <w:i/>
        </w:rPr>
        <w:t>указаны недостоверные сведения в части исполнения в размере 100%</w:t>
      </w:r>
      <w:r w:rsidRPr="00661557">
        <w:rPr>
          <w:b/>
          <w:i/>
        </w:rPr>
        <w:t xml:space="preserve"> </w:t>
      </w:r>
      <w:r>
        <w:rPr>
          <w:b/>
          <w:i/>
        </w:rPr>
        <w:t xml:space="preserve">по муниципальной программе </w:t>
      </w:r>
      <w:r w:rsidR="002E0840">
        <w:rPr>
          <w:b/>
          <w:i/>
        </w:rPr>
        <w:t xml:space="preserve">города Тулуна </w:t>
      </w:r>
      <w:r>
        <w:rPr>
          <w:b/>
          <w:i/>
        </w:rPr>
        <w:t>«Культура</w:t>
      </w:r>
      <w:r w:rsidRPr="00EA3CCC">
        <w:rPr>
          <w:b/>
          <w:i/>
        </w:rPr>
        <w:t>», плановы</w:t>
      </w:r>
      <w:r w:rsidR="00B95158">
        <w:rPr>
          <w:b/>
          <w:i/>
        </w:rPr>
        <w:t>й показатель составляет 53 933,7</w:t>
      </w:r>
      <w:r w:rsidRPr="00EA3CCC">
        <w:rPr>
          <w:b/>
          <w:i/>
        </w:rPr>
        <w:t xml:space="preserve"> </w:t>
      </w:r>
      <w:proofErr w:type="spellStart"/>
      <w:r w:rsidRPr="00EA3CCC">
        <w:rPr>
          <w:b/>
          <w:i/>
        </w:rPr>
        <w:t>тыс</w:t>
      </w:r>
      <w:proofErr w:type="gramStart"/>
      <w:r w:rsidRPr="00EA3CCC">
        <w:rPr>
          <w:b/>
          <w:i/>
        </w:rPr>
        <w:t>.р</w:t>
      </w:r>
      <w:proofErr w:type="gramEnd"/>
      <w:r>
        <w:rPr>
          <w:b/>
          <w:i/>
        </w:rPr>
        <w:t>уб</w:t>
      </w:r>
      <w:proofErr w:type="spellEnd"/>
      <w:r w:rsidR="00B95158">
        <w:rPr>
          <w:b/>
          <w:i/>
        </w:rPr>
        <w:t>., исполнение составило 53 932,9</w:t>
      </w:r>
      <w:r w:rsidRPr="00EA3CCC">
        <w:rPr>
          <w:b/>
          <w:i/>
        </w:rPr>
        <w:t xml:space="preserve"> </w:t>
      </w:r>
      <w:proofErr w:type="spellStart"/>
      <w:r w:rsidRPr="00EA3CCC">
        <w:rPr>
          <w:b/>
          <w:i/>
        </w:rPr>
        <w:t>тыс.руб</w:t>
      </w:r>
      <w:proofErr w:type="spellEnd"/>
      <w:r w:rsidRPr="00EA3CCC">
        <w:rPr>
          <w:b/>
          <w:i/>
        </w:rPr>
        <w:t>.,</w:t>
      </w:r>
      <w:r>
        <w:t xml:space="preserve"> </w:t>
      </w:r>
      <w:r w:rsidRPr="00427EBE">
        <w:rPr>
          <w:b/>
          <w:i/>
          <w:u w:val="single"/>
        </w:rPr>
        <w:t>не исполнено</w:t>
      </w:r>
      <w:r w:rsidRPr="00EA3CCC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B95158">
        <w:rPr>
          <w:b/>
          <w:i/>
          <w:u w:val="single"/>
        </w:rPr>
        <w:t>0,8</w:t>
      </w:r>
      <w:r w:rsidRPr="00661557">
        <w:rPr>
          <w:b/>
          <w:i/>
          <w:u w:val="single"/>
        </w:rPr>
        <w:t xml:space="preserve"> </w:t>
      </w:r>
      <w:proofErr w:type="spellStart"/>
      <w:r w:rsidRPr="00661557">
        <w:rPr>
          <w:b/>
          <w:i/>
          <w:u w:val="single"/>
        </w:rPr>
        <w:t>тыс.руб</w:t>
      </w:r>
      <w:proofErr w:type="spellEnd"/>
      <w:r w:rsidRPr="00661557">
        <w:rPr>
          <w:b/>
          <w:i/>
          <w:u w:val="single"/>
        </w:rPr>
        <w:t>.</w:t>
      </w:r>
      <w:r w:rsidR="002E0840">
        <w:rPr>
          <w:b/>
          <w:i/>
          <w:u w:val="single"/>
        </w:rPr>
        <w:t xml:space="preserve"> </w:t>
      </w:r>
    </w:p>
    <w:p w:rsidR="00661557" w:rsidRPr="00A57033" w:rsidRDefault="00661557" w:rsidP="00E53845">
      <w:pPr>
        <w:ind w:firstLine="540"/>
        <w:jc w:val="both"/>
      </w:pPr>
    </w:p>
    <w:p w:rsidR="004E1AE5" w:rsidRPr="0016253D" w:rsidRDefault="00286910" w:rsidP="0016253D">
      <w:pPr>
        <w:autoSpaceDE w:val="0"/>
        <w:autoSpaceDN w:val="0"/>
        <w:adjustRightInd w:val="0"/>
        <w:ind w:firstLine="709"/>
        <w:jc w:val="both"/>
      </w:pPr>
      <w:r w:rsidRPr="0018710F">
        <w:rPr>
          <w:b/>
          <w:i/>
        </w:rPr>
        <w:t>Анализ исполнения</w:t>
      </w:r>
      <w:r w:rsidR="00C9664A" w:rsidRPr="0018710F">
        <w:rPr>
          <w:b/>
          <w:i/>
        </w:rPr>
        <w:t xml:space="preserve"> бюджетных назначений с детализацией по функциональной структуре </w:t>
      </w:r>
      <w:r w:rsidR="00BD1003" w:rsidRPr="0018710F">
        <w:rPr>
          <w:b/>
          <w:i/>
        </w:rPr>
        <w:t xml:space="preserve">(разделы, подразделы) </w:t>
      </w:r>
      <w:r w:rsidR="009577C8" w:rsidRPr="0018710F">
        <w:rPr>
          <w:b/>
          <w:i/>
        </w:rPr>
        <w:t xml:space="preserve">расходов </w:t>
      </w:r>
      <w:r w:rsidR="00EB54AD" w:rsidRPr="0018710F">
        <w:rPr>
          <w:b/>
          <w:i/>
        </w:rPr>
        <w:t xml:space="preserve">за </w:t>
      </w:r>
      <w:r w:rsidR="00477F66" w:rsidRPr="0018710F">
        <w:rPr>
          <w:b/>
          <w:i/>
        </w:rPr>
        <w:t>2019</w:t>
      </w:r>
      <w:r w:rsidR="00DD4D17" w:rsidRPr="0018710F">
        <w:rPr>
          <w:b/>
          <w:i/>
        </w:rPr>
        <w:t xml:space="preserve"> год</w:t>
      </w:r>
      <w:r w:rsidR="00EB54AD">
        <w:t xml:space="preserve"> </w:t>
      </w:r>
      <w:r>
        <w:t>приведен</w:t>
      </w:r>
      <w:r w:rsidR="00C9664A" w:rsidRPr="00A57033">
        <w:t xml:space="preserve"> в таблице № </w:t>
      </w:r>
      <w:r w:rsidR="00DD4D17">
        <w:t>4</w:t>
      </w:r>
      <w:r w:rsidR="00414EAF">
        <w:t>.</w:t>
      </w:r>
    </w:p>
    <w:p w:rsidR="004E1AE5" w:rsidRDefault="004E1AE5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BC2D0C" w:rsidRPr="00414EAF" w:rsidRDefault="004B1738" w:rsidP="004B173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14EAF">
        <w:rPr>
          <w:b/>
          <w:sz w:val="20"/>
          <w:szCs w:val="20"/>
        </w:rPr>
        <w:t xml:space="preserve">Таблица № </w:t>
      </w:r>
      <w:r w:rsidR="00DD4D17">
        <w:rPr>
          <w:b/>
          <w:sz w:val="20"/>
          <w:szCs w:val="20"/>
        </w:rPr>
        <w:t>4</w:t>
      </w:r>
      <w:r w:rsidR="00BC2D0C" w:rsidRPr="00414EAF">
        <w:rPr>
          <w:b/>
          <w:sz w:val="20"/>
          <w:szCs w:val="20"/>
        </w:rPr>
        <w:t xml:space="preserve"> (</w:t>
      </w:r>
      <w:proofErr w:type="spellStart"/>
      <w:r w:rsidR="00BC2D0C" w:rsidRPr="00414EAF">
        <w:rPr>
          <w:b/>
          <w:sz w:val="20"/>
          <w:szCs w:val="20"/>
        </w:rPr>
        <w:t>тыс</w:t>
      </w:r>
      <w:proofErr w:type="gramStart"/>
      <w:r w:rsidR="00BC2D0C" w:rsidRPr="00414EAF">
        <w:rPr>
          <w:b/>
          <w:sz w:val="20"/>
          <w:szCs w:val="20"/>
        </w:rPr>
        <w:t>.р</w:t>
      </w:r>
      <w:proofErr w:type="gramEnd"/>
      <w:r w:rsidR="00BC2D0C" w:rsidRPr="00414EAF">
        <w:rPr>
          <w:b/>
          <w:sz w:val="20"/>
          <w:szCs w:val="20"/>
        </w:rPr>
        <w:t>уб</w:t>
      </w:r>
      <w:proofErr w:type="spellEnd"/>
      <w:r w:rsidRPr="00414EAF">
        <w:rPr>
          <w:b/>
          <w:sz w:val="20"/>
          <w:szCs w:val="20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126"/>
        <w:gridCol w:w="1559"/>
        <w:gridCol w:w="1559"/>
      </w:tblGrid>
      <w:tr w:rsidR="005C0363" w:rsidRPr="00A57033" w:rsidTr="0001005E">
        <w:trPr>
          <w:trHeight w:val="1242"/>
        </w:trPr>
        <w:tc>
          <w:tcPr>
            <w:tcW w:w="4503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036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C0363" w:rsidRPr="005C0363" w:rsidRDefault="00DD4D17" w:rsidP="00DD4D1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4D17">
              <w:rPr>
                <w:sz w:val="18"/>
                <w:szCs w:val="18"/>
                <w:lang w:eastAsia="en-US"/>
              </w:rPr>
              <w:t>Утверждено решением Думы го</w:t>
            </w:r>
            <w:r w:rsidR="00BD1003">
              <w:rPr>
                <w:sz w:val="18"/>
                <w:szCs w:val="18"/>
                <w:lang w:eastAsia="en-US"/>
              </w:rPr>
              <w:t>родского округа №30-ДГО от 27.12.2018</w:t>
            </w:r>
            <w:r w:rsidRPr="00DD4D17">
              <w:rPr>
                <w:sz w:val="18"/>
                <w:szCs w:val="18"/>
                <w:lang w:eastAsia="en-US"/>
              </w:rPr>
              <w:t>г (с учетом изменений внесенных реш</w:t>
            </w:r>
            <w:r w:rsidR="00BD1003">
              <w:rPr>
                <w:sz w:val="18"/>
                <w:szCs w:val="18"/>
                <w:lang w:eastAsia="en-US"/>
              </w:rPr>
              <w:t>ением Думы городского округа №30-ДГО от 26.12.2019</w:t>
            </w:r>
            <w:r w:rsidRPr="00DD4D17">
              <w:rPr>
                <w:sz w:val="18"/>
                <w:szCs w:val="18"/>
                <w:lang w:eastAsia="en-US"/>
              </w:rPr>
              <w:t>г</w:t>
            </w:r>
            <w:r w:rsidR="00291E38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350DDD">
              <w:rPr>
                <w:sz w:val="18"/>
                <w:szCs w:val="18"/>
                <w:lang w:eastAsia="en-US"/>
              </w:rPr>
              <w:t>расп</w:t>
            </w:r>
            <w:proofErr w:type="spellEnd"/>
            <w:r w:rsidR="00350DDD">
              <w:rPr>
                <w:sz w:val="18"/>
                <w:szCs w:val="18"/>
                <w:lang w:eastAsia="en-US"/>
              </w:rPr>
              <w:t xml:space="preserve"> Комитета по финансам</w:t>
            </w:r>
            <w:r w:rsidRPr="00DD4D1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5C0363" w:rsidRDefault="005C0363" w:rsidP="005C0363">
            <w:pPr>
              <w:jc w:val="center"/>
              <w:rPr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Фактическое исполнение</w:t>
            </w:r>
          </w:p>
          <w:p w:rsidR="00291E38" w:rsidRPr="00A63A90" w:rsidRDefault="00291E38" w:rsidP="005C0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2019 год</w:t>
            </w:r>
          </w:p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0363" w:rsidRPr="005C0363" w:rsidRDefault="005C0363" w:rsidP="005C0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3A90">
              <w:rPr>
                <w:sz w:val="18"/>
                <w:szCs w:val="18"/>
              </w:rPr>
              <w:t>% исполнения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142 156,6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138 752,1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6 992,8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6 120,2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245 466,7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193 323,7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9577C8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515,347,9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375 680,7</w:t>
            </w:r>
          </w:p>
        </w:tc>
        <w:tc>
          <w:tcPr>
            <w:tcW w:w="1559" w:type="dxa"/>
            <w:vAlign w:val="center"/>
          </w:tcPr>
          <w:p w:rsidR="00065F30" w:rsidRPr="00A57033" w:rsidRDefault="00E267C1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3A644C" w:rsidRPr="00A57033" w:rsidTr="0001005E">
        <w:tc>
          <w:tcPr>
            <w:tcW w:w="4503" w:type="dxa"/>
            <w:vAlign w:val="center"/>
          </w:tcPr>
          <w:p w:rsidR="003A644C" w:rsidRPr="00A57033" w:rsidRDefault="003A644C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vAlign w:val="center"/>
          </w:tcPr>
          <w:p w:rsidR="003A644C" w:rsidRDefault="003A644C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282 271,4</w:t>
            </w:r>
          </w:p>
        </w:tc>
        <w:tc>
          <w:tcPr>
            <w:tcW w:w="1559" w:type="dxa"/>
            <w:vAlign w:val="center"/>
          </w:tcPr>
          <w:p w:rsidR="003A644C" w:rsidRDefault="003A644C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277 843,2</w:t>
            </w:r>
          </w:p>
        </w:tc>
        <w:tc>
          <w:tcPr>
            <w:tcW w:w="1559" w:type="dxa"/>
            <w:vAlign w:val="center"/>
          </w:tcPr>
          <w:p w:rsidR="003A644C" w:rsidRDefault="003A644C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vAlign w:val="center"/>
          </w:tcPr>
          <w:p w:rsidR="00065F30" w:rsidRPr="00A57033" w:rsidRDefault="003A644C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1 151 135,7</w:t>
            </w:r>
          </w:p>
        </w:tc>
        <w:tc>
          <w:tcPr>
            <w:tcW w:w="1559" w:type="dxa"/>
            <w:vAlign w:val="center"/>
          </w:tcPr>
          <w:p w:rsidR="00065F30" w:rsidRPr="00A57033" w:rsidRDefault="003A644C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1 120 848,1</w:t>
            </w:r>
          </w:p>
        </w:tc>
        <w:tc>
          <w:tcPr>
            <w:tcW w:w="1559" w:type="dxa"/>
            <w:vAlign w:val="center"/>
          </w:tcPr>
          <w:p w:rsidR="00065F30" w:rsidRPr="00A57033" w:rsidRDefault="003A644C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126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52 584,7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52 583,9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2126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10979">
              <w:rPr>
                <w:sz w:val="20"/>
                <w:szCs w:val="20"/>
              </w:rPr>
              <w:t>,0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56 404,3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54 763,3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2126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137 311,5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128 576,9</w:t>
            </w:r>
          </w:p>
        </w:tc>
        <w:tc>
          <w:tcPr>
            <w:tcW w:w="1559" w:type="dxa"/>
            <w:vAlign w:val="center"/>
          </w:tcPr>
          <w:p w:rsidR="00065F30" w:rsidRPr="00A57033" w:rsidRDefault="00B11D43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26" w:type="dxa"/>
            <w:vAlign w:val="center"/>
          </w:tcPr>
          <w:p w:rsidR="00065F30" w:rsidRPr="00A57033" w:rsidRDefault="006F102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3 626,9</w:t>
            </w:r>
          </w:p>
        </w:tc>
        <w:tc>
          <w:tcPr>
            <w:tcW w:w="1559" w:type="dxa"/>
            <w:vAlign w:val="center"/>
          </w:tcPr>
          <w:p w:rsidR="00065F30" w:rsidRPr="00A57033" w:rsidRDefault="006F102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3 263,1</w:t>
            </w:r>
          </w:p>
        </w:tc>
        <w:tc>
          <w:tcPr>
            <w:tcW w:w="1559" w:type="dxa"/>
            <w:vAlign w:val="center"/>
          </w:tcPr>
          <w:p w:rsidR="00065F30" w:rsidRPr="00A57033" w:rsidRDefault="006F102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065F30" w:rsidRPr="00A57033" w:rsidTr="0001005E">
        <w:tc>
          <w:tcPr>
            <w:tcW w:w="4503" w:type="dxa"/>
            <w:vAlign w:val="center"/>
          </w:tcPr>
          <w:p w:rsidR="00065F30" w:rsidRPr="00A57033" w:rsidRDefault="00065F3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vAlign w:val="center"/>
          </w:tcPr>
          <w:p w:rsidR="00065F30" w:rsidRPr="00A57033" w:rsidRDefault="006F102F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065F30" w:rsidRPr="00A57033" w:rsidRDefault="006F102F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065F30" w:rsidRPr="00A57033" w:rsidRDefault="00065F30" w:rsidP="00631A31">
            <w:pPr>
              <w:jc w:val="center"/>
              <w:rPr>
                <w:sz w:val="20"/>
                <w:szCs w:val="20"/>
              </w:rPr>
            </w:pPr>
          </w:p>
        </w:tc>
      </w:tr>
      <w:tr w:rsidR="00065F30" w:rsidRPr="00A57033" w:rsidTr="0001005E">
        <w:trPr>
          <w:trHeight w:val="447"/>
        </w:trPr>
        <w:tc>
          <w:tcPr>
            <w:tcW w:w="4503" w:type="dxa"/>
            <w:vAlign w:val="center"/>
          </w:tcPr>
          <w:p w:rsidR="00065F30" w:rsidRPr="005D1C13" w:rsidRDefault="003B4B02" w:rsidP="00785733">
            <w:pPr>
              <w:rPr>
                <w:b/>
                <w:sz w:val="22"/>
                <w:szCs w:val="22"/>
              </w:rPr>
            </w:pPr>
            <w:r w:rsidRPr="005D1C1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126" w:type="dxa"/>
            <w:vAlign w:val="center"/>
          </w:tcPr>
          <w:p w:rsidR="00065F30" w:rsidRPr="005D1C13" w:rsidRDefault="006F102F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2 593 801,5</w:t>
            </w:r>
          </w:p>
        </w:tc>
        <w:tc>
          <w:tcPr>
            <w:tcW w:w="1559" w:type="dxa"/>
            <w:vAlign w:val="center"/>
          </w:tcPr>
          <w:p w:rsidR="00065F30" w:rsidRPr="005D1C13" w:rsidRDefault="006F102F" w:rsidP="000B19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2 352 258,4</w:t>
            </w:r>
          </w:p>
        </w:tc>
        <w:tc>
          <w:tcPr>
            <w:tcW w:w="1559" w:type="dxa"/>
            <w:vAlign w:val="center"/>
          </w:tcPr>
          <w:p w:rsidR="00065F30" w:rsidRPr="005D1C13" w:rsidRDefault="006F102F" w:rsidP="000B1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90,7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6C2B10" w:rsidRDefault="00CD4977" w:rsidP="00655CB7">
      <w:pPr>
        <w:autoSpaceDE w:val="0"/>
        <w:autoSpaceDN w:val="0"/>
        <w:adjustRightInd w:val="0"/>
        <w:ind w:firstLine="709"/>
        <w:jc w:val="both"/>
      </w:pPr>
      <w:r w:rsidRPr="0039713E">
        <w:t>Из</w:t>
      </w:r>
      <w:r w:rsidR="00A37214" w:rsidRPr="0039713E">
        <w:t xml:space="preserve"> таблицы № </w:t>
      </w:r>
      <w:r w:rsidR="00631A31">
        <w:t>4</w:t>
      </w:r>
      <w:r w:rsidR="00A37214" w:rsidRPr="0039713E">
        <w:t xml:space="preserve"> видно, что расходы</w:t>
      </w:r>
      <w:r w:rsidRPr="0039713E">
        <w:t xml:space="preserve">  местного бюджета </w:t>
      </w:r>
      <w:r w:rsidR="00410979">
        <w:t>за 2019</w:t>
      </w:r>
      <w:r w:rsidR="00631A31">
        <w:t xml:space="preserve"> год</w:t>
      </w:r>
      <w:r w:rsidRPr="0039713E">
        <w:t xml:space="preserve"> исполнены  на </w:t>
      </w:r>
      <w:r w:rsidR="00410979">
        <w:t>90,7</w:t>
      </w:r>
      <w:r w:rsidRPr="0039713E">
        <w:t xml:space="preserve">% от утвержденного объема назначений, что в сумме составляет </w:t>
      </w:r>
      <w:r w:rsidR="00410979">
        <w:t>2 352 258,4</w:t>
      </w:r>
      <w:r w:rsidRPr="0039713E">
        <w:t xml:space="preserve"> </w:t>
      </w:r>
      <w:proofErr w:type="spellStart"/>
      <w:r w:rsidRPr="0039713E">
        <w:t>тыс</w:t>
      </w:r>
      <w:proofErr w:type="gramStart"/>
      <w:r w:rsidRPr="0039713E">
        <w:t>.р</w:t>
      </w:r>
      <w:proofErr w:type="gramEnd"/>
      <w:r w:rsidRPr="0039713E">
        <w:t>уб</w:t>
      </w:r>
      <w:proofErr w:type="spellEnd"/>
      <w:r w:rsidRPr="0039713E">
        <w:t>.</w:t>
      </w:r>
      <w:r w:rsidR="00631A31">
        <w:t xml:space="preserve"> </w:t>
      </w:r>
    </w:p>
    <w:p w:rsidR="00E14702" w:rsidRDefault="000933B8" w:rsidP="006C2B10">
      <w:pPr>
        <w:autoSpaceDE w:val="0"/>
        <w:autoSpaceDN w:val="0"/>
        <w:adjustRightInd w:val="0"/>
        <w:ind w:firstLine="709"/>
        <w:jc w:val="both"/>
      </w:pPr>
      <w:r w:rsidRPr="00410979">
        <w:rPr>
          <w:i/>
        </w:rPr>
        <w:t>Наибольшее</w:t>
      </w:r>
      <w:r w:rsidRPr="000933B8">
        <w:t xml:space="preserve"> исполнение сложилось по разделу </w:t>
      </w:r>
      <w:r w:rsidR="00410979">
        <w:t>«Здравоохранение» - 100</w:t>
      </w:r>
      <w:r w:rsidR="00410979" w:rsidRPr="000933B8">
        <w:t>%</w:t>
      </w:r>
      <w:r w:rsidR="00410979">
        <w:t>, «Культура и кинематография» - 99,99%,</w:t>
      </w:r>
      <w:r w:rsidRPr="000933B8">
        <w:t xml:space="preserve"> </w:t>
      </w:r>
      <w:r w:rsidRPr="00410979">
        <w:rPr>
          <w:i/>
        </w:rPr>
        <w:t>наименьшее</w:t>
      </w:r>
      <w:r w:rsidRPr="000933B8">
        <w:t xml:space="preserve"> исполнение сложилось по разделу </w:t>
      </w:r>
      <w:r w:rsidRPr="00410979">
        <w:t>«</w:t>
      </w:r>
      <w:r w:rsidR="00410979" w:rsidRPr="00410979">
        <w:t>Жилищно-коммунальное хозяйство</w:t>
      </w:r>
      <w:r w:rsidRPr="00410979">
        <w:t>»</w:t>
      </w:r>
      <w:r w:rsidR="00410979">
        <w:t xml:space="preserve"> - 72,9</w:t>
      </w:r>
      <w:r w:rsidRPr="000933B8">
        <w:t>%</w:t>
      </w:r>
      <w:r w:rsidR="00410979">
        <w:t>, «</w:t>
      </w:r>
      <w:r w:rsidR="00410979" w:rsidRPr="00410979">
        <w:t>Национальная экономика</w:t>
      </w:r>
      <w:r w:rsidR="00410979">
        <w:t>» - 78,8%</w:t>
      </w:r>
      <w:r w:rsidRPr="000933B8">
        <w:t xml:space="preserve"> .</w:t>
      </w:r>
    </w:p>
    <w:p w:rsidR="002E0840" w:rsidRDefault="002E0840" w:rsidP="006C2B10">
      <w:pPr>
        <w:autoSpaceDE w:val="0"/>
        <w:autoSpaceDN w:val="0"/>
        <w:adjustRightInd w:val="0"/>
        <w:ind w:firstLine="709"/>
        <w:jc w:val="both"/>
      </w:pPr>
    </w:p>
    <w:p w:rsidR="00B95158" w:rsidRDefault="00EA3CCC" w:rsidP="008B372C">
      <w:pPr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  <w:r w:rsidRPr="00EA3CCC">
        <w:rPr>
          <w:b/>
          <w:i/>
        </w:rPr>
        <w:t xml:space="preserve">В приложение </w:t>
      </w:r>
      <w:r w:rsidR="001A697E">
        <w:rPr>
          <w:b/>
          <w:i/>
        </w:rPr>
        <w:t>№</w:t>
      </w:r>
      <w:r w:rsidRPr="00EA3CCC">
        <w:rPr>
          <w:b/>
          <w:i/>
        </w:rPr>
        <w:t xml:space="preserve">3 к </w:t>
      </w:r>
      <w:r w:rsidRPr="001315E4">
        <w:rPr>
          <w:b/>
          <w:i/>
        </w:rPr>
        <w:t xml:space="preserve">Проекту </w:t>
      </w:r>
      <w:r w:rsidR="001315E4" w:rsidRPr="001315E4">
        <w:rPr>
          <w:b/>
          <w:i/>
        </w:rPr>
        <w:t>решения Думы городского округа «Об утверждении отчета об исполнении бюджета муниципального образования – «город Тулун» за 2019 год»</w:t>
      </w:r>
      <w:r w:rsidR="001315E4">
        <w:t xml:space="preserve"> </w:t>
      </w:r>
      <w:r w:rsidRPr="00EA3CCC">
        <w:rPr>
          <w:b/>
          <w:i/>
        </w:rPr>
        <w:t xml:space="preserve">указаны недостоверные сведения в части исполнения в размере 100% по функциональной статье «Культура и кинематография», плановый показатель составляет 52 584,7 </w:t>
      </w:r>
      <w:proofErr w:type="spellStart"/>
      <w:r w:rsidRPr="00EA3CCC">
        <w:rPr>
          <w:b/>
          <w:i/>
        </w:rPr>
        <w:t>тыс</w:t>
      </w:r>
      <w:proofErr w:type="gramStart"/>
      <w:r w:rsidRPr="00EA3CCC">
        <w:rPr>
          <w:b/>
          <w:i/>
        </w:rPr>
        <w:t>.р</w:t>
      </w:r>
      <w:proofErr w:type="gramEnd"/>
      <w:r w:rsidRPr="00EA3CCC">
        <w:rPr>
          <w:b/>
          <w:i/>
        </w:rPr>
        <w:t>уб</w:t>
      </w:r>
      <w:proofErr w:type="spellEnd"/>
      <w:r w:rsidRPr="00EA3CCC">
        <w:rPr>
          <w:b/>
          <w:i/>
        </w:rPr>
        <w:t xml:space="preserve">., исполнение составило 52 583,9 </w:t>
      </w:r>
      <w:proofErr w:type="spellStart"/>
      <w:r w:rsidRPr="00EA3CCC">
        <w:rPr>
          <w:b/>
          <w:i/>
        </w:rPr>
        <w:t>тыс.руб</w:t>
      </w:r>
      <w:proofErr w:type="spellEnd"/>
      <w:r w:rsidRPr="00EA3CCC">
        <w:rPr>
          <w:b/>
          <w:i/>
        </w:rPr>
        <w:t>.,</w:t>
      </w:r>
      <w:r>
        <w:t xml:space="preserve"> </w:t>
      </w:r>
      <w:r w:rsidRPr="00427EBE">
        <w:rPr>
          <w:b/>
          <w:i/>
          <w:u w:val="single"/>
        </w:rPr>
        <w:t>не исполнено</w:t>
      </w:r>
      <w:r w:rsidRPr="00EA3CCC">
        <w:rPr>
          <w:b/>
          <w:i/>
        </w:rPr>
        <w:t xml:space="preserve"> </w:t>
      </w:r>
      <w:r w:rsidR="001315E4">
        <w:rPr>
          <w:b/>
          <w:i/>
        </w:rPr>
        <w:t xml:space="preserve">   </w:t>
      </w:r>
      <w:r w:rsidRPr="00661557">
        <w:rPr>
          <w:b/>
          <w:i/>
          <w:u w:val="single"/>
        </w:rPr>
        <w:t xml:space="preserve">0,8 </w:t>
      </w:r>
      <w:proofErr w:type="spellStart"/>
      <w:r w:rsidRPr="00661557">
        <w:rPr>
          <w:b/>
          <w:i/>
          <w:u w:val="single"/>
        </w:rPr>
        <w:t>тыс.руб</w:t>
      </w:r>
      <w:proofErr w:type="spellEnd"/>
      <w:r w:rsidRPr="00661557">
        <w:rPr>
          <w:b/>
          <w:i/>
          <w:u w:val="single"/>
        </w:rPr>
        <w:t>.</w:t>
      </w:r>
    </w:p>
    <w:p w:rsidR="00B95158" w:rsidRDefault="008B372C" w:rsidP="006C2B1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Показатели</w:t>
      </w:r>
      <w:r w:rsidR="002E0840">
        <w:rPr>
          <w:b/>
          <w:i/>
        </w:rPr>
        <w:t xml:space="preserve"> исполнения по </w:t>
      </w:r>
      <w:r w:rsidR="00B95158">
        <w:rPr>
          <w:b/>
          <w:i/>
        </w:rPr>
        <w:t xml:space="preserve"> </w:t>
      </w:r>
      <w:r w:rsidR="002E0840">
        <w:rPr>
          <w:b/>
          <w:i/>
        </w:rPr>
        <w:t>муниципальной программе города Тулуна «Культура</w:t>
      </w:r>
      <w:r w:rsidR="002E0840" w:rsidRPr="00EA3CCC">
        <w:rPr>
          <w:b/>
          <w:i/>
        </w:rPr>
        <w:t>»</w:t>
      </w:r>
      <w:r w:rsidR="00A90378">
        <w:rPr>
          <w:b/>
          <w:i/>
        </w:rPr>
        <w:t xml:space="preserve"> </w:t>
      </w:r>
      <w:r w:rsidR="00B95158">
        <w:rPr>
          <w:b/>
          <w:i/>
        </w:rPr>
        <w:t xml:space="preserve">в приложении №2 и в приложении №3 по </w:t>
      </w:r>
      <w:proofErr w:type="spellStart"/>
      <w:r w:rsidR="00B95158">
        <w:rPr>
          <w:b/>
          <w:i/>
        </w:rPr>
        <w:t>РзПР</w:t>
      </w:r>
      <w:proofErr w:type="spellEnd"/>
      <w:r w:rsidR="00B95158">
        <w:rPr>
          <w:b/>
          <w:i/>
        </w:rPr>
        <w:t xml:space="preserve"> 0801 </w:t>
      </w:r>
      <w:r w:rsidR="00B95158" w:rsidRPr="00427EBE">
        <w:rPr>
          <w:b/>
          <w:i/>
          <w:u w:val="single"/>
        </w:rPr>
        <w:t>не иде</w:t>
      </w:r>
      <w:r w:rsidRPr="00427EBE">
        <w:rPr>
          <w:b/>
          <w:i/>
          <w:u w:val="single"/>
        </w:rPr>
        <w:t>нтичны</w:t>
      </w:r>
      <w:r>
        <w:rPr>
          <w:b/>
          <w:i/>
        </w:rPr>
        <w:t xml:space="preserve">, так в </w:t>
      </w:r>
      <w:r>
        <w:rPr>
          <w:b/>
          <w:i/>
        </w:rPr>
        <w:t>приложении №2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РзПР</w:t>
      </w:r>
      <w:proofErr w:type="spellEnd"/>
      <w:r>
        <w:rPr>
          <w:b/>
          <w:i/>
        </w:rPr>
        <w:t xml:space="preserve"> 0801 </w:t>
      </w:r>
      <w:r>
        <w:rPr>
          <w:b/>
          <w:i/>
        </w:rPr>
        <w:t xml:space="preserve">(КЦСР 0400000000) гр.8 указано 52 584,0 </w:t>
      </w:r>
      <w:proofErr w:type="spellStart"/>
      <w:r>
        <w:rPr>
          <w:b/>
          <w:i/>
        </w:rPr>
        <w:t>тыс</w:t>
      </w:r>
      <w:proofErr w:type="gramStart"/>
      <w:r>
        <w:rPr>
          <w:b/>
          <w:i/>
        </w:rPr>
        <w:t>.р</w:t>
      </w:r>
      <w:proofErr w:type="gramEnd"/>
      <w:r>
        <w:rPr>
          <w:b/>
          <w:i/>
        </w:rPr>
        <w:t>уб</w:t>
      </w:r>
      <w:proofErr w:type="spellEnd"/>
      <w:r>
        <w:rPr>
          <w:b/>
          <w:i/>
        </w:rPr>
        <w:t xml:space="preserve">., </w:t>
      </w:r>
      <w:r w:rsidR="002E0840">
        <w:rPr>
          <w:b/>
          <w:i/>
        </w:rPr>
        <w:t xml:space="preserve">                 </w:t>
      </w:r>
      <w:r>
        <w:rPr>
          <w:b/>
          <w:i/>
        </w:rPr>
        <w:t xml:space="preserve"> </w:t>
      </w:r>
      <w:r>
        <w:rPr>
          <w:b/>
          <w:i/>
        </w:rPr>
        <w:t xml:space="preserve">в приложении №3 по </w:t>
      </w:r>
      <w:proofErr w:type="spellStart"/>
      <w:r>
        <w:rPr>
          <w:b/>
          <w:i/>
        </w:rPr>
        <w:t>РзПР</w:t>
      </w:r>
      <w:proofErr w:type="spellEnd"/>
      <w:r>
        <w:rPr>
          <w:b/>
          <w:i/>
        </w:rPr>
        <w:t xml:space="preserve"> 0801</w:t>
      </w:r>
      <w:r>
        <w:rPr>
          <w:b/>
          <w:i/>
        </w:rPr>
        <w:t xml:space="preserve"> гр.5 указано 52 583,9 </w:t>
      </w:r>
      <w:proofErr w:type="spellStart"/>
      <w:r>
        <w:rPr>
          <w:b/>
          <w:i/>
        </w:rPr>
        <w:t>тыс.руб</w:t>
      </w:r>
      <w:proofErr w:type="spellEnd"/>
      <w:r>
        <w:rPr>
          <w:b/>
          <w:i/>
        </w:rPr>
        <w:t>.</w:t>
      </w:r>
      <w:r w:rsidR="002E0840">
        <w:rPr>
          <w:b/>
          <w:i/>
        </w:rPr>
        <w:t xml:space="preserve">,  разница составляет     0,1 </w:t>
      </w:r>
      <w:proofErr w:type="spellStart"/>
      <w:r w:rsidR="002E0840">
        <w:rPr>
          <w:b/>
          <w:i/>
        </w:rPr>
        <w:t>тыс.руб</w:t>
      </w:r>
      <w:proofErr w:type="spellEnd"/>
      <w:r w:rsidR="002E0840">
        <w:rPr>
          <w:b/>
          <w:i/>
        </w:rPr>
        <w:t>.</w:t>
      </w:r>
    </w:p>
    <w:p w:rsidR="002E0840" w:rsidRPr="00B95158" w:rsidRDefault="002E0840" w:rsidP="006C2B10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6C2B10" w:rsidRDefault="00E14702" w:rsidP="006C2B10">
      <w:pPr>
        <w:autoSpaceDE w:val="0"/>
        <w:autoSpaceDN w:val="0"/>
        <w:adjustRightInd w:val="0"/>
        <w:ind w:firstLine="709"/>
        <w:jc w:val="both"/>
      </w:pPr>
      <w:r>
        <w:t>При анализе расходов бюджета п</w:t>
      </w:r>
      <w:r w:rsidR="006C2B10">
        <w:t>о разделам и подразделам в целом наблюдается исполнение расходн</w:t>
      </w:r>
      <w:r w:rsidR="00CF428A">
        <w:t>ых обязатель</w:t>
      </w:r>
      <w:proofErr w:type="gramStart"/>
      <w:r w:rsidR="00CF428A">
        <w:t>ств в пр</w:t>
      </w:r>
      <w:proofErr w:type="gramEnd"/>
      <w:r w:rsidR="00CF428A">
        <w:t>еделах от 90</w:t>
      </w:r>
      <w:r w:rsidR="006C2B10">
        <w:t xml:space="preserve"> до 100%, однако имеются  классификации расходов бюджета</w:t>
      </w:r>
      <w:r w:rsidR="00CF428A">
        <w:t xml:space="preserve">, </w:t>
      </w:r>
      <w:r w:rsidR="006C2B10">
        <w:t xml:space="preserve"> по котор</w:t>
      </w:r>
      <w:r w:rsidR="003D77C3">
        <w:t>ым  процент исполнения ниже 6</w:t>
      </w:r>
      <w:r w:rsidR="00CF428A">
        <w:t>0%</w:t>
      </w:r>
      <w:r w:rsidR="006C2B10">
        <w:t>, так:</w:t>
      </w:r>
    </w:p>
    <w:p w:rsidR="00E14702" w:rsidRDefault="00CF428A" w:rsidP="006C2B10">
      <w:pPr>
        <w:autoSpaceDE w:val="0"/>
        <w:autoSpaceDN w:val="0"/>
        <w:adjustRightInd w:val="0"/>
        <w:ind w:firstLine="709"/>
        <w:jc w:val="both"/>
      </w:pPr>
      <w:r>
        <w:t>-  0105 «Судебная система» - 55,8</w:t>
      </w:r>
      <w:r w:rsidR="00E14702">
        <w:t>% (отсутствие потребности в данных средствах);</w:t>
      </w:r>
    </w:p>
    <w:p w:rsidR="00CF428A" w:rsidRDefault="00CF428A" w:rsidP="006C2B10">
      <w:pPr>
        <w:autoSpaceDE w:val="0"/>
        <w:autoSpaceDN w:val="0"/>
        <w:adjustRightInd w:val="0"/>
        <w:ind w:firstLine="709"/>
        <w:jc w:val="both"/>
      </w:pPr>
      <w:r>
        <w:t>-  0501 «Жилищное хозяйство» - 58,4%;</w:t>
      </w:r>
    </w:p>
    <w:p w:rsidR="00CF428A" w:rsidRDefault="00CF428A" w:rsidP="00FE7997">
      <w:pPr>
        <w:autoSpaceDE w:val="0"/>
        <w:autoSpaceDN w:val="0"/>
        <w:adjustRightInd w:val="0"/>
        <w:ind w:firstLine="709"/>
        <w:jc w:val="both"/>
      </w:pPr>
      <w:r>
        <w:t>- 0314 «Другие вопросы в области национальной безопасности</w:t>
      </w:r>
      <w:r w:rsidRPr="00CF428A">
        <w:t xml:space="preserve"> и правоохрани</w:t>
      </w:r>
      <w:r>
        <w:t>тельной деятельности» - 58,5%.</w:t>
      </w:r>
    </w:p>
    <w:p w:rsidR="00CF428A" w:rsidRDefault="00CF428A" w:rsidP="006C2B10">
      <w:pPr>
        <w:autoSpaceDE w:val="0"/>
        <w:autoSpaceDN w:val="0"/>
        <w:adjustRightInd w:val="0"/>
        <w:ind w:firstLine="709"/>
        <w:jc w:val="both"/>
      </w:pPr>
    </w:p>
    <w:p w:rsidR="00655CB7" w:rsidRPr="0039713E" w:rsidRDefault="00F6017B" w:rsidP="00655CB7">
      <w:pPr>
        <w:autoSpaceDE w:val="0"/>
        <w:autoSpaceDN w:val="0"/>
        <w:adjustRightInd w:val="0"/>
        <w:ind w:firstLine="709"/>
        <w:jc w:val="both"/>
      </w:pPr>
      <w:proofErr w:type="gramStart"/>
      <w:r w:rsidRPr="0039713E">
        <w:t>Поскольку расходы местного бюджета</w:t>
      </w:r>
      <w:r w:rsidR="005F7CDC" w:rsidRPr="0039713E">
        <w:t xml:space="preserve"> на</w:t>
      </w:r>
      <w:r w:rsidR="00406BC7">
        <w:t xml:space="preserve"> </w:t>
      </w:r>
      <w:r w:rsidR="00385CDF">
        <w:t>2019</w:t>
      </w:r>
      <w:r w:rsidR="005F7CDC" w:rsidRPr="0039713E">
        <w:t xml:space="preserve"> год</w:t>
      </w:r>
      <w:r w:rsidR="00406BC7">
        <w:t xml:space="preserve"> </w:t>
      </w:r>
      <w:r w:rsidRPr="0039713E">
        <w:t xml:space="preserve">сформированы </w:t>
      </w:r>
      <w:r w:rsidR="005F7CDC" w:rsidRPr="0039713E">
        <w:t xml:space="preserve"> по программно-целевому принципу</w:t>
      </w:r>
      <w:r w:rsidR="008A1B1B" w:rsidRPr="0039713E">
        <w:t xml:space="preserve">, </w:t>
      </w:r>
      <w:r w:rsidR="005F7CDC" w:rsidRPr="0039713E">
        <w:t xml:space="preserve"> на основе 16 муниципальных программ,</w:t>
      </w:r>
      <w:r w:rsidR="0009405E" w:rsidRPr="0039713E">
        <w:t xml:space="preserve"> то основная</w:t>
      </w:r>
      <w:r w:rsidRPr="0039713E">
        <w:t xml:space="preserve"> доля расходов местного бюджета направлена на выполнение муниципальных программ</w:t>
      </w:r>
      <w:r w:rsidR="0047566C" w:rsidRPr="0039713E">
        <w:t xml:space="preserve"> города Тулуна</w:t>
      </w:r>
      <w:r w:rsidRPr="0039713E">
        <w:t xml:space="preserve">, которая составляет </w:t>
      </w:r>
      <w:r w:rsidR="00864DE0">
        <w:t>94,4</w:t>
      </w:r>
      <w:r w:rsidR="0047566C" w:rsidRPr="0039713E">
        <w:t>% в</w:t>
      </w:r>
      <w:r w:rsidRPr="0039713E">
        <w:t xml:space="preserve"> общих</w:t>
      </w:r>
      <w:r w:rsidR="00682E3D" w:rsidRPr="0039713E">
        <w:t>,</w:t>
      </w:r>
      <w:r w:rsidR="00406BC7">
        <w:t xml:space="preserve"> </w:t>
      </w:r>
      <w:r w:rsidR="0047566C" w:rsidRPr="0039713E">
        <w:t>утвержденных расходах местного бюджета, соответственно неп</w:t>
      </w:r>
      <w:r w:rsidR="00864DE0">
        <w:t>рограммные расходы составляют 5,6</w:t>
      </w:r>
      <w:r w:rsidR="0047566C" w:rsidRPr="0039713E">
        <w:t>% в общих</w:t>
      </w:r>
      <w:r w:rsidR="00682E3D" w:rsidRPr="0039713E">
        <w:t>,</w:t>
      </w:r>
      <w:r w:rsidR="0047566C" w:rsidRPr="0039713E">
        <w:t xml:space="preserve"> утвержденных расходах местного бюджета</w:t>
      </w:r>
      <w:r w:rsidRPr="0039713E">
        <w:t xml:space="preserve">. </w:t>
      </w:r>
      <w:proofErr w:type="gramEnd"/>
    </w:p>
    <w:p w:rsidR="00EB54AD" w:rsidRPr="0039713E" w:rsidRDefault="00EB54AD" w:rsidP="00655CB7">
      <w:pPr>
        <w:autoSpaceDE w:val="0"/>
        <w:autoSpaceDN w:val="0"/>
        <w:adjustRightInd w:val="0"/>
        <w:ind w:firstLine="709"/>
        <w:jc w:val="both"/>
      </w:pPr>
    </w:p>
    <w:p w:rsidR="00406BC7" w:rsidRPr="000B288D" w:rsidRDefault="005A0F30" w:rsidP="000B288D">
      <w:pPr>
        <w:ind w:firstLine="709"/>
        <w:jc w:val="both"/>
      </w:pPr>
      <w:r w:rsidRPr="00E71CC0">
        <w:rPr>
          <w:b/>
          <w:i/>
        </w:rPr>
        <w:t xml:space="preserve">Анализ исполнения муниципальных программ города </w:t>
      </w:r>
      <w:r w:rsidR="005F7CDC" w:rsidRPr="00E71CC0">
        <w:rPr>
          <w:b/>
          <w:i/>
        </w:rPr>
        <w:t xml:space="preserve">Тулуна </w:t>
      </w:r>
      <w:r w:rsidR="00D943C9" w:rsidRPr="00E71CC0">
        <w:rPr>
          <w:b/>
          <w:i/>
        </w:rPr>
        <w:t xml:space="preserve">и непрограммных расходов </w:t>
      </w:r>
      <w:r w:rsidR="00406BC7" w:rsidRPr="00E71CC0">
        <w:rPr>
          <w:b/>
          <w:i/>
        </w:rPr>
        <w:t xml:space="preserve">за </w:t>
      </w:r>
      <w:r w:rsidR="00864DE0" w:rsidRPr="00E71CC0">
        <w:rPr>
          <w:b/>
          <w:i/>
        </w:rPr>
        <w:t>2019</w:t>
      </w:r>
      <w:r w:rsidR="008C3DDA" w:rsidRPr="00E71CC0">
        <w:rPr>
          <w:b/>
          <w:i/>
        </w:rPr>
        <w:t xml:space="preserve"> год</w:t>
      </w:r>
      <w:r w:rsidR="008C3DDA" w:rsidRPr="0039713E">
        <w:t xml:space="preserve"> </w:t>
      </w:r>
      <w:r w:rsidR="00D943C9" w:rsidRPr="0039713E">
        <w:t>при</w:t>
      </w:r>
      <w:r w:rsidR="008C3DDA" w:rsidRPr="0039713E">
        <w:t>веден</w:t>
      </w:r>
      <w:r w:rsidR="005F7CDC" w:rsidRPr="0039713E">
        <w:t xml:space="preserve"> в таблице № </w:t>
      </w:r>
      <w:r w:rsidR="00406BC7">
        <w:t>5</w:t>
      </w:r>
      <w:r w:rsidR="005F7CDC" w:rsidRPr="0039713E">
        <w:t>.</w:t>
      </w:r>
    </w:p>
    <w:p w:rsidR="00406BC7" w:rsidRDefault="00406BC7" w:rsidP="005A0F30">
      <w:pPr>
        <w:ind w:firstLine="567"/>
        <w:jc w:val="right"/>
        <w:rPr>
          <w:b/>
          <w:sz w:val="20"/>
          <w:szCs w:val="20"/>
        </w:rPr>
      </w:pPr>
    </w:p>
    <w:p w:rsidR="00864DE0" w:rsidRPr="00F426AF" w:rsidRDefault="005F7CDC" w:rsidP="00F426AF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Таблица № </w:t>
      </w:r>
      <w:r w:rsidR="00406BC7">
        <w:rPr>
          <w:b/>
          <w:sz w:val="20"/>
          <w:szCs w:val="20"/>
        </w:rPr>
        <w:t>5</w:t>
      </w:r>
      <w:r w:rsidR="005A0F30" w:rsidRPr="005F7CDC">
        <w:rPr>
          <w:b/>
          <w:sz w:val="20"/>
          <w:szCs w:val="20"/>
        </w:rPr>
        <w:t xml:space="preserve"> (</w:t>
      </w:r>
      <w:proofErr w:type="spellStart"/>
      <w:r w:rsidR="005A0F30" w:rsidRPr="005F7CDC">
        <w:rPr>
          <w:b/>
          <w:sz w:val="20"/>
          <w:szCs w:val="20"/>
        </w:rPr>
        <w:t>тыс</w:t>
      </w:r>
      <w:proofErr w:type="gramStart"/>
      <w:r w:rsidR="005A0F30" w:rsidRPr="005F7CDC">
        <w:rPr>
          <w:b/>
          <w:sz w:val="20"/>
          <w:szCs w:val="20"/>
        </w:rPr>
        <w:t>.р</w:t>
      </w:r>
      <w:proofErr w:type="gramEnd"/>
      <w:r w:rsidR="005A0F30" w:rsidRPr="005F7CDC">
        <w:rPr>
          <w:b/>
          <w:sz w:val="20"/>
          <w:szCs w:val="20"/>
        </w:rPr>
        <w:t>уб</w:t>
      </w:r>
      <w:proofErr w:type="spellEnd"/>
      <w:r w:rsidRPr="005F7CDC">
        <w:rPr>
          <w:b/>
          <w:sz w:val="20"/>
          <w:szCs w:val="20"/>
        </w:rPr>
        <w:t>.</w:t>
      </w:r>
      <w:r w:rsidR="005A0F30" w:rsidRPr="005F7CDC">
        <w:rPr>
          <w:b/>
          <w:sz w:val="20"/>
          <w:szCs w:val="20"/>
        </w:rPr>
        <w:t>)</w:t>
      </w: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4526"/>
        <w:gridCol w:w="1701"/>
        <w:gridCol w:w="1560"/>
        <w:gridCol w:w="1701"/>
      </w:tblGrid>
      <w:tr w:rsidR="00864DE0" w:rsidRPr="00864DE0" w:rsidTr="00F426AF">
        <w:trPr>
          <w:trHeight w:val="96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2DB6">
              <w:rPr>
                <w:bCs/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9E2DB6" w:rsidP="009E2D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06BC7">
              <w:rPr>
                <w:sz w:val="18"/>
                <w:szCs w:val="18"/>
                <w:lang w:eastAsia="en-US"/>
              </w:rPr>
              <w:t>Утверждено реш</w:t>
            </w:r>
            <w:r>
              <w:rPr>
                <w:sz w:val="18"/>
                <w:szCs w:val="18"/>
                <w:lang w:eastAsia="en-US"/>
              </w:rPr>
              <w:t>ением Думы городского округа №30-ДГО от 27.12.2018</w:t>
            </w:r>
            <w:r w:rsidRPr="00406BC7">
              <w:rPr>
                <w:sz w:val="18"/>
                <w:szCs w:val="18"/>
                <w:lang w:eastAsia="en-US"/>
              </w:rPr>
              <w:t>г (с учетом изменений внесенных реш</w:t>
            </w:r>
            <w:r>
              <w:rPr>
                <w:sz w:val="18"/>
                <w:szCs w:val="18"/>
                <w:lang w:eastAsia="en-US"/>
              </w:rPr>
              <w:t>ением Думы городского округа №30-ДГО от 26.12.2019</w:t>
            </w:r>
            <w:r w:rsidRPr="00406BC7">
              <w:rPr>
                <w:sz w:val="18"/>
                <w:szCs w:val="18"/>
                <w:lang w:eastAsia="en-US"/>
              </w:rPr>
              <w:t>г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Комитета по финансам</w:t>
            </w:r>
            <w:r w:rsidRPr="00406BC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Default="009E2DB6" w:rsidP="00864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E7997">
              <w:rPr>
                <w:bCs/>
                <w:color w:val="000000"/>
                <w:sz w:val="20"/>
                <w:szCs w:val="20"/>
              </w:rPr>
              <w:t xml:space="preserve">Фактическое исполнение </w:t>
            </w:r>
          </w:p>
          <w:p w:rsidR="00FE7997" w:rsidRPr="00FE7997" w:rsidRDefault="00FE7997" w:rsidP="00864D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2019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FE7997" w:rsidRDefault="00864DE0" w:rsidP="009E2D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E7997">
              <w:rPr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864DE0" w:rsidRPr="00864DE0" w:rsidTr="00F426AF">
        <w:trPr>
          <w:trHeight w:val="127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lastRenderedPageBreak/>
              <w:t>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bCs/>
                <w:color w:val="000000"/>
              </w:rPr>
              <w:t>4 333,2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bCs/>
                <w:color w:val="000000"/>
              </w:rPr>
              <w:t>3 841,7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88,7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«Труд»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706,3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691,3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97,9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«Образование»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1 104 195,0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1 087 105,3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98,5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«Культура»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53 933,7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53 932,8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DC71D9" w:rsidP="00864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  <w:bookmarkStart w:id="0" w:name="_GoBack"/>
            <w:bookmarkEnd w:id="0"/>
          </w:p>
        </w:tc>
      </w:tr>
      <w:tr w:rsidR="00864DE0" w:rsidRPr="00864DE0" w:rsidTr="00F426AF">
        <w:trPr>
          <w:trHeight w:val="36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«Молодежь»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317,0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281,6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88,8</w:t>
            </w:r>
          </w:p>
        </w:tc>
      </w:tr>
      <w:tr w:rsidR="00864DE0" w:rsidRPr="00864DE0" w:rsidTr="00F426AF">
        <w:trPr>
          <w:trHeight w:val="36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«Доступное жилье»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3 252,4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2 309,2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71,0</w:t>
            </w:r>
          </w:p>
        </w:tc>
      </w:tr>
      <w:tr w:rsidR="00864DE0" w:rsidRPr="00864DE0" w:rsidTr="00F426AF">
        <w:trPr>
          <w:trHeight w:val="34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«Физическая культура и спорт»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133 139,4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124 392,2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93,4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«Охрана здоровья населения»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1 322,5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1 319,4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99,8</w:t>
            </w:r>
          </w:p>
        </w:tc>
      </w:tr>
      <w:tr w:rsidR="00864DE0" w:rsidRPr="00864DE0" w:rsidTr="00F426AF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«Обеспечение комплексных мер безопасности»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257 239,7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153 945,4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59,8</w:t>
            </w:r>
          </w:p>
        </w:tc>
      </w:tr>
      <w:tr w:rsidR="00864DE0" w:rsidRPr="00864DE0" w:rsidTr="00F426AF">
        <w:trPr>
          <w:trHeight w:val="88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«Поддержка отдельных категорий граждан и социально ориентированных некоммерческих организаций»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55 825,6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53 959,5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96,7</w:t>
            </w:r>
          </w:p>
        </w:tc>
      </w:tr>
      <w:tr w:rsidR="00864DE0" w:rsidRPr="00864DE0" w:rsidTr="00F426AF">
        <w:trPr>
          <w:trHeight w:val="27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«Транспортное обслуживание населения»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780,0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739,8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94,8</w:t>
            </w:r>
          </w:p>
        </w:tc>
      </w:tr>
      <w:tr w:rsidR="00864DE0" w:rsidRPr="00864DE0" w:rsidTr="00F426AF">
        <w:trPr>
          <w:trHeight w:val="26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«Жилищно-коммунальное хозяйство»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313 356,7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248 381,2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79,3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«Охрана окружающей среды»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346 270,3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341 807,2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98,7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«Городские дороги»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141 580,1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103 823,1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73,3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 xml:space="preserve">«Градостроительство»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1 781,9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1 781,9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100,0</w:t>
            </w:r>
          </w:p>
        </w:tc>
      </w:tr>
      <w:tr w:rsidR="00864DE0" w:rsidRPr="00864DE0" w:rsidTr="00F426AF">
        <w:trPr>
          <w:trHeight w:val="64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color w:val="000000"/>
                <w:sz w:val="22"/>
                <w:szCs w:val="22"/>
              </w:rPr>
            </w:pPr>
            <w:r w:rsidRPr="009E2DB6">
              <w:rPr>
                <w:color w:val="000000"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42 764,1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41 976,2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98,2</w:t>
            </w:r>
          </w:p>
        </w:tc>
      </w:tr>
      <w:tr w:rsidR="00864DE0" w:rsidRPr="00864DE0" w:rsidTr="00F426AF">
        <w:trPr>
          <w:trHeight w:val="36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DB6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  <w:r w:rsidR="009E2DB6" w:rsidRPr="009E2DB6">
              <w:rPr>
                <w:b/>
                <w:bCs/>
                <w:color w:val="000000"/>
                <w:sz w:val="22"/>
                <w:szCs w:val="22"/>
              </w:rPr>
              <w:t xml:space="preserve">расходы </w:t>
            </w:r>
            <w:r w:rsidRPr="009E2DB6">
              <w:rPr>
                <w:b/>
                <w:bCs/>
                <w:color w:val="000000"/>
                <w:sz w:val="22"/>
                <w:szCs w:val="22"/>
              </w:rPr>
              <w:t>по муниципальным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b/>
                <w:bCs/>
                <w:color w:val="000000"/>
              </w:rPr>
            </w:pPr>
            <w:r w:rsidRPr="00864DE0">
              <w:rPr>
                <w:b/>
                <w:bCs/>
                <w:color w:val="000000"/>
              </w:rPr>
              <w:t>2 460 797,9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b/>
                <w:bCs/>
                <w:color w:val="000000"/>
              </w:rPr>
            </w:pPr>
            <w:r w:rsidRPr="00864DE0">
              <w:rPr>
                <w:b/>
                <w:bCs/>
                <w:color w:val="000000"/>
              </w:rPr>
              <w:t>2 220 287,8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90,2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DB6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b/>
                <w:bCs/>
                <w:color w:val="000000"/>
              </w:rPr>
            </w:pPr>
            <w:r w:rsidRPr="00864DE0">
              <w:rPr>
                <w:b/>
                <w:bCs/>
                <w:color w:val="000000"/>
              </w:rPr>
              <w:t>133 003,6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b/>
                <w:bCs/>
                <w:color w:val="000000"/>
              </w:rPr>
            </w:pPr>
            <w:r w:rsidRPr="00864DE0">
              <w:rPr>
                <w:b/>
                <w:bCs/>
                <w:color w:val="000000"/>
              </w:rPr>
              <w:t>131 970,6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99,2</w:t>
            </w:r>
          </w:p>
        </w:tc>
      </w:tr>
      <w:tr w:rsidR="00864DE0" w:rsidRPr="00864DE0" w:rsidTr="00F426AF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9E2DB6" w:rsidRDefault="00864DE0" w:rsidP="00864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2DB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b/>
                <w:bCs/>
                <w:color w:val="000000"/>
              </w:rPr>
            </w:pPr>
            <w:r w:rsidRPr="00864DE0">
              <w:rPr>
                <w:b/>
                <w:bCs/>
                <w:color w:val="000000"/>
              </w:rPr>
              <w:t>2 593 801,5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b/>
                <w:bCs/>
                <w:color w:val="000000"/>
              </w:rPr>
            </w:pPr>
            <w:r w:rsidRPr="00864DE0">
              <w:rPr>
                <w:b/>
                <w:bCs/>
                <w:color w:val="000000"/>
              </w:rPr>
              <w:t>2 352 258,4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DE0" w:rsidRPr="00864DE0" w:rsidRDefault="00864DE0" w:rsidP="00864DE0">
            <w:pPr>
              <w:jc w:val="center"/>
              <w:rPr>
                <w:color w:val="000000"/>
              </w:rPr>
            </w:pPr>
            <w:r w:rsidRPr="00864DE0">
              <w:rPr>
                <w:color w:val="000000"/>
              </w:rPr>
              <w:t>90,7</w:t>
            </w:r>
          </w:p>
        </w:tc>
      </w:tr>
    </w:tbl>
    <w:p w:rsidR="00864DE0" w:rsidRPr="00864DE0" w:rsidRDefault="00864DE0" w:rsidP="00864DE0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0"/>
          <w:highlight w:val="yellow"/>
        </w:rPr>
      </w:pPr>
    </w:p>
    <w:p w:rsidR="0047566C" w:rsidRPr="0039713E" w:rsidRDefault="00897701" w:rsidP="009E2DB6">
      <w:pPr>
        <w:jc w:val="both"/>
      </w:pPr>
      <w:r>
        <w:t>Из таблицы № 5</w:t>
      </w:r>
      <w:r w:rsidR="0047566C" w:rsidRPr="0039713E">
        <w:t xml:space="preserve"> видно, что муниципальные программы города Тулуна </w:t>
      </w:r>
      <w:r w:rsidR="009E2DB6">
        <w:t>за 2019</w:t>
      </w:r>
      <w:r>
        <w:t xml:space="preserve"> год</w:t>
      </w:r>
      <w:r w:rsidR="001736D6" w:rsidRPr="0039713E">
        <w:t xml:space="preserve"> исполнены на </w:t>
      </w:r>
      <w:r w:rsidR="009E2DB6">
        <w:t>90,2</w:t>
      </w:r>
      <w:r w:rsidR="003134F6">
        <w:t xml:space="preserve">%  и составляют в сумме </w:t>
      </w:r>
      <w:r w:rsidR="009E2DB6">
        <w:t>2 220 287,8</w:t>
      </w:r>
      <w:r>
        <w:t xml:space="preserve"> </w:t>
      </w:r>
      <w:proofErr w:type="spellStart"/>
      <w:r w:rsidR="001736D6" w:rsidRPr="0039713E">
        <w:t>тыс</w:t>
      </w:r>
      <w:proofErr w:type="gramStart"/>
      <w:r w:rsidR="001736D6" w:rsidRPr="0039713E">
        <w:t>.р</w:t>
      </w:r>
      <w:proofErr w:type="gramEnd"/>
      <w:r w:rsidR="001736D6" w:rsidRPr="0039713E">
        <w:t>уб</w:t>
      </w:r>
      <w:proofErr w:type="spellEnd"/>
      <w:r w:rsidR="0047566C" w:rsidRPr="0039713E">
        <w:t xml:space="preserve">. </w:t>
      </w:r>
    </w:p>
    <w:p w:rsidR="0022671D" w:rsidRDefault="00473C69" w:rsidP="0089377F">
      <w:pPr>
        <w:ind w:firstLine="567"/>
        <w:jc w:val="both"/>
      </w:pPr>
      <w:r w:rsidRPr="0039713E">
        <w:t>Исполнение по н</w:t>
      </w:r>
      <w:r w:rsidR="00731195" w:rsidRPr="0039713E">
        <w:t>е</w:t>
      </w:r>
      <w:r w:rsidRPr="0039713E">
        <w:t>программным</w:t>
      </w:r>
      <w:r w:rsidR="00B31E2C">
        <w:t xml:space="preserve"> расходам</w:t>
      </w:r>
      <w:r w:rsidR="00D14DBF" w:rsidRPr="0039713E">
        <w:t xml:space="preserve"> за </w:t>
      </w:r>
      <w:r w:rsidR="009E2DB6">
        <w:t>2019</w:t>
      </w:r>
      <w:r w:rsidR="00731195" w:rsidRPr="0039713E">
        <w:t xml:space="preserve"> год </w:t>
      </w:r>
      <w:r w:rsidR="00FD6AD6" w:rsidRPr="0039713E">
        <w:t>составил</w:t>
      </w:r>
      <w:r w:rsidR="00B31E2C">
        <w:t>о</w:t>
      </w:r>
      <w:r w:rsidR="00D14DBF" w:rsidRPr="0039713E">
        <w:t xml:space="preserve"> </w:t>
      </w:r>
      <w:r w:rsidR="009E2DB6">
        <w:t>131 970,6</w:t>
      </w:r>
      <w:r w:rsidR="00B31E2C">
        <w:t xml:space="preserve"> </w:t>
      </w:r>
      <w:proofErr w:type="spellStart"/>
      <w:r w:rsidR="00731195" w:rsidRPr="0039713E">
        <w:t>тыс</w:t>
      </w:r>
      <w:proofErr w:type="gramStart"/>
      <w:r w:rsidR="00731195" w:rsidRPr="0039713E">
        <w:t>.р</w:t>
      </w:r>
      <w:proofErr w:type="gramEnd"/>
      <w:r w:rsidR="00731195" w:rsidRPr="0039713E">
        <w:t>уб</w:t>
      </w:r>
      <w:proofErr w:type="spellEnd"/>
      <w:r w:rsidR="00731195" w:rsidRPr="0039713E">
        <w:t>.</w:t>
      </w:r>
      <w:r w:rsidR="00D14DBF" w:rsidRPr="0039713E">
        <w:t xml:space="preserve"> или </w:t>
      </w:r>
      <w:r w:rsidR="009E2DB6">
        <w:t>99,2</w:t>
      </w:r>
      <w:r w:rsidR="00FD6AD6" w:rsidRPr="0039713E">
        <w:t>% от</w:t>
      </w:r>
      <w:r w:rsidR="00D14DBF" w:rsidRPr="0039713E">
        <w:t xml:space="preserve">  утвержденного объема</w:t>
      </w:r>
      <w:r w:rsidR="009E2DB6">
        <w:t xml:space="preserve"> бюджетных</w:t>
      </w:r>
      <w:r w:rsidR="00D14DBF" w:rsidRPr="0039713E">
        <w:t xml:space="preserve"> назначений.</w:t>
      </w:r>
    </w:p>
    <w:p w:rsidR="00E91F29" w:rsidRDefault="009E2DB6" w:rsidP="00695739">
      <w:pPr>
        <w:ind w:firstLine="567"/>
        <w:jc w:val="both"/>
        <w:rPr>
          <w:color w:val="000000"/>
        </w:rPr>
      </w:pPr>
      <w:proofErr w:type="gramStart"/>
      <w:r w:rsidRPr="0061757F">
        <w:rPr>
          <w:i/>
        </w:rPr>
        <w:t>Наибольший</w:t>
      </w:r>
      <w:r>
        <w:t xml:space="preserve"> удельный вес в общих расходах </w:t>
      </w:r>
      <w:r w:rsidR="00C300A6">
        <w:t xml:space="preserve"> по муниципальным программам 2019 года </w:t>
      </w:r>
      <w:r>
        <w:t xml:space="preserve">занимают расходы на финансовое </w:t>
      </w:r>
      <w:r w:rsidR="00C300A6">
        <w:t>обеспечение</w:t>
      </w:r>
      <w:r>
        <w:t xml:space="preserve"> муниципальной программа города Тулуна</w:t>
      </w:r>
      <w:r w:rsidR="00C300A6">
        <w:t xml:space="preserve"> </w:t>
      </w:r>
      <w:r w:rsidR="00C300A6" w:rsidRPr="00C300A6">
        <w:t xml:space="preserve">«Образование» - 49%, </w:t>
      </w:r>
      <w:r w:rsidR="00C300A6">
        <w:t>муниципальной программа города Тулуна</w:t>
      </w:r>
      <w:r w:rsidR="00C300A6" w:rsidRPr="00C300A6">
        <w:rPr>
          <w:color w:val="000000"/>
        </w:rPr>
        <w:t xml:space="preserve"> «Охрана окружающей среды» - 15,4%,</w:t>
      </w:r>
      <w:r w:rsidR="00C300A6" w:rsidRPr="00C300A6">
        <w:t xml:space="preserve"> </w:t>
      </w:r>
      <w:r w:rsidR="00C300A6">
        <w:t>муниципальной программа города Тулуна</w:t>
      </w:r>
      <w:r w:rsidR="00C300A6" w:rsidRPr="00C300A6">
        <w:rPr>
          <w:color w:val="000000"/>
        </w:rPr>
        <w:t xml:space="preserve"> «Жилищно-коммунальное хозяйство» - 11,2%</w:t>
      </w:r>
      <w:r w:rsidR="00C300A6">
        <w:t xml:space="preserve">, </w:t>
      </w:r>
      <w:r w:rsidR="00C300A6" w:rsidRPr="0061757F">
        <w:rPr>
          <w:i/>
        </w:rPr>
        <w:t>наименьший</w:t>
      </w:r>
      <w:r w:rsidR="00C300A6">
        <w:t xml:space="preserve"> </w:t>
      </w:r>
      <w:r w:rsidR="00E426C0">
        <w:t xml:space="preserve">удельный вес </w:t>
      </w:r>
      <w:r w:rsidR="00C300A6">
        <w:t xml:space="preserve">занимают  </w:t>
      </w:r>
      <w:r w:rsidR="0061757F">
        <w:t xml:space="preserve">муниципальные программы города Тулуна </w:t>
      </w:r>
      <w:r w:rsidR="00C300A6" w:rsidRPr="0061757F">
        <w:rPr>
          <w:color w:val="000000"/>
        </w:rPr>
        <w:t xml:space="preserve">«Молодежь» - 0,013%, «Труд» - 0,031%, «Транспортное обслуживание населения» </w:t>
      </w:r>
      <w:r w:rsidR="0061757F" w:rsidRPr="0061757F">
        <w:rPr>
          <w:color w:val="000000"/>
        </w:rPr>
        <w:t xml:space="preserve">- </w:t>
      </w:r>
      <w:r w:rsidR="00C300A6" w:rsidRPr="0061757F">
        <w:rPr>
          <w:color w:val="000000"/>
        </w:rPr>
        <w:t>0,033</w:t>
      </w:r>
      <w:r w:rsidR="0061757F" w:rsidRPr="0061757F">
        <w:rPr>
          <w:color w:val="000000"/>
        </w:rPr>
        <w:t>%</w:t>
      </w:r>
      <w:r w:rsidR="0061757F">
        <w:rPr>
          <w:color w:val="000000"/>
        </w:rPr>
        <w:t>.</w:t>
      </w:r>
      <w:proofErr w:type="gramEnd"/>
    </w:p>
    <w:p w:rsidR="00965AB2" w:rsidRDefault="00965AB2" w:rsidP="00695739">
      <w:pPr>
        <w:ind w:firstLine="567"/>
        <w:jc w:val="both"/>
      </w:pPr>
    </w:p>
    <w:p w:rsidR="0081629D" w:rsidRPr="00965AB2" w:rsidRDefault="00661557" w:rsidP="00965AB2">
      <w:pPr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  <w:r w:rsidRPr="00EA3CCC">
        <w:rPr>
          <w:b/>
          <w:i/>
        </w:rPr>
        <w:t xml:space="preserve">В приложение </w:t>
      </w:r>
      <w:r>
        <w:rPr>
          <w:b/>
          <w:i/>
        </w:rPr>
        <w:t>№4</w:t>
      </w:r>
      <w:r w:rsidRPr="00EA3CCC">
        <w:rPr>
          <w:b/>
          <w:i/>
        </w:rPr>
        <w:t xml:space="preserve"> к </w:t>
      </w:r>
      <w:r w:rsidRPr="001315E4">
        <w:rPr>
          <w:b/>
          <w:i/>
        </w:rPr>
        <w:t>Проекту решения Думы городского округа «Об утверждении отчета об исполнении бюджета муниципального образования – «город Тулун» за 2019 год»</w:t>
      </w:r>
      <w:r>
        <w:t xml:space="preserve"> </w:t>
      </w:r>
      <w:r w:rsidRPr="00EA3CCC">
        <w:rPr>
          <w:b/>
          <w:i/>
        </w:rPr>
        <w:t>указаны недостоверные сведения в части исполнения в разме</w:t>
      </w:r>
      <w:r>
        <w:rPr>
          <w:b/>
          <w:i/>
        </w:rPr>
        <w:t>ре 100% по муниципальной программе города Тулуна «Культура</w:t>
      </w:r>
      <w:r w:rsidRPr="00EA3CCC">
        <w:rPr>
          <w:b/>
          <w:i/>
        </w:rPr>
        <w:t>», плановы</w:t>
      </w:r>
      <w:r>
        <w:rPr>
          <w:b/>
          <w:i/>
        </w:rPr>
        <w:t>й показатель составляет 53 933,7</w:t>
      </w:r>
      <w:r w:rsidRPr="00EA3CCC">
        <w:rPr>
          <w:b/>
          <w:i/>
        </w:rPr>
        <w:t xml:space="preserve"> </w:t>
      </w:r>
      <w:proofErr w:type="spellStart"/>
      <w:r w:rsidRPr="00EA3CCC">
        <w:rPr>
          <w:b/>
          <w:i/>
        </w:rPr>
        <w:t>тыс</w:t>
      </w:r>
      <w:proofErr w:type="gramStart"/>
      <w:r w:rsidRPr="00EA3CCC">
        <w:rPr>
          <w:b/>
          <w:i/>
        </w:rPr>
        <w:t>.р</w:t>
      </w:r>
      <w:proofErr w:type="gramEnd"/>
      <w:r w:rsidRPr="00EA3CCC">
        <w:rPr>
          <w:b/>
          <w:i/>
        </w:rPr>
        <w:t>уб</w:t>
      </w:r>
      <w:proofErr w:type="spellEnd"/>
      <w:r>
        <w:rPr>
          <w:b/>
          <w:i/>
        </w:rPr>
        <w:t>., исполнение составило 53 932,8</w:t>
      </w:r>
      <w:r w:rsidRPr="00EA3CCC">
        <w:rPr>
          <w:b/>
          <w:i/>
        </w:rPr>
        <w:t xml:space="preserve"> </w:t>
      </w:r>
      <w:proofErr w:type="spellStart"/>
      <w:r w:rsidRPr="00EA3CCC">
        <w:rPr>
          <w:b/>
          <w:i/>
        </w:rPr>
        <w:t>тыс.руб</w:t>
      </w:r>
      <w:proofErr w:type="spellEnd"/>
      <w:r w:rsidRPr="00EA3CCC">
        <w:rPr>
          <w:b/>
          <w:i/>
        </w:rPr>
        <w:t>.,</w:t>
      </w:r>
      <w:r>
        <w:t xml:space="preserve"> </w:t>
      </w:r>
      <w:r w:rsidRPr="00965AB2">
        <w:rPr>
          <w:b/>
          <w:i/>
          <w:u w:val="single"/>
        </w:rPr>
        <w:t>не исполнено    0,9</w:t>
      </w:r>
      <w:r w:rsidR="00965AB2">
        <w:rPr>
          <w:b/>
          <w:i/>
          <w:u w:val="single"/>
        </w:rPr>
        <w:t xml:space="preserve"> </w:t>
      </w:r>
      <w:proofErr w:type="spellStart"/>
      <w:r w:rsidR="00965AB2">
        <w:rPr>
          <w:b/>
          <w:i/>
          <w:u w:val="single"/>
        </w:rPr>
        <w:t>тыс.руб</w:t>
      </w:r>
      <w:proofErr w:type="spellEnd"/>
      <w:r w:rsidR="00965AB2">
        <w:rPr>
          <w:b/>
          <w:i/>
          <w:u w:val="single"/>
        </w:rPr>
        <w:t>.</w:t>
      </w:r>
    </w:p>
    <w:p w:rsidR="00A90378" w:rsidRDefault="00A90378" w:rsidP="00A9037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Показатели исполнения по  муниципальной программе города Тулуна «Культура</w:t>
      </w:r>
      <w:r w:rsidRPr="00EA3CCC">
        <w:rPr>
          <w:b/>
          <w:i/>
        </w:rPr>
        <w:t>»</w:t>
      </w:r>
      <w:r>
        <w:rPr>
          <w:b/>
          <w:i/>
        </w:rPr>
        <w:t xml:space="preserve"> </w:t>
      </w:r>
      <w:r>
        <w:rPr>
          <w:b/>
          <w:i/>
        </w:rPr>
        <w:t>в приложении №</w:t>
      </w:r>
      <w:r w:rsidR="00FC5D9A">
        <w:rPr>
          <w:b/>
          <w:i/>
        </w:rPr>
        <w:t>2 и в приложении №4</w:t>
      </w:r>
      <w:r>
        <w:rPr>
          <w:b/>
          <w:i/>
        </w:rPr>
        <w:t xml:space="preserve"> по </w:t>
      </w:r>
      <w:r>
        <w:rPr>
          <w:b/>
          <w:i/>
        </w:rPr>
        <w:t xml:space="preserve">КЦСР 0400000000 </w:t>
      </w:r>
      <w:r>
        <w:rPr>
          <w:b/>
          <w:i/>
        </w:rPr>
        <w:t xml:space="preserve"> </w:t>
      </w:r>
      <w:r w:rsidRPr="00E94005">
        <w:rPr>
          <w:b/>
          <w:i/>
          <w:u w:val="single"/>
        </w:rPr>
        <w:t>не идентичны</w:t>
      </w:r>
      <w:r>
        <w:rPr>
          <w:b/>
          <w:i/>
        </w:rPr>
        <w:t xml:space="preserve">, </w:t>
      </w:r>
      <w:r>
        <w:rPr>
          <w:b/>
          <w:i/>
        </w:rPr>
        <w:lastRenderedPageBreak/>
        <w:t xml:space="preserve">так в приложении №2  указано </w:t>
      </w:r>
      <w:r>
        <w:rPr>
          <w:b/>
          <w:i/>
        </w:rPr>
        <w:t xml:space="preserve">53 932,9 </w:t>
      </w:r>
      <w:proofErr w:type="spellStart"/>
      <w:r>
        <w:rPr>
          <w:b/>
          <w:i/>
        </w:rPr>
        <w:t>тыс</w:t>
      </w:r>
      <w:proofErr w:type="gramStart"/>
      <w:r>
        <w:rPr>
          <w:b/>
          <w:i/>
        </w:rPr>
        <w:t>.р</w:t>
      </w:r>
      <w:proofErr w:type="gramEnd"/>
      <w:r>
        <w:rPr>
          <w:b/>
          <w:i/>
        </w:rPr>
        <w:t>уб</w:t>
      </w:r>
      <w:proofErr w:type="spellEnd"/>
      <w:r>
        <w:rPr>
          <w:b/>
          <w:i/>
        </w:rPr>
        <w:t xml:space="preserve">. (1348,9 + </w:t>
      </w:r>
      <w:r>
        <w:rPr>
          <w:b/>
          <w:i/>
        </w:rPr>
        <w:t>52 584,0</w:t>
      </w:r>
      <w:r>
        <w:rPr>
          <w:b/>
          <w:i/>
        </w:rPr>
        <w:t>)</w:t>
      </w:r>
      <w:r>
        <w:rPr>
          <w:b/>
          <w:i/>
        </w:rPr>
        <w:t xml:space="preserve">, </w:t>
      </w:r>
      <w:r>
        <w:rPr>
          <w:b/>
          <w:i/>
        </w:rPr>
        <w:t>в приложении №4</w:t>
      </w:r>
      <w:r w:rsidR="00E94005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rPr>
          <w:b/>
          <w:i/>
        </w:rPr>
        <w:t xml:space="preserve"> указано 53 932,</w:t>
      </w:r>
      <w:r w:rsidR="00E94005">
        <w:rPr>
          <w:b/>
          <w:i/>
        </w:rPr>
        <w:t>8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тыс.руб</w:t>
      </w:r>
      <w:proofErr w:type="spellEnd"/>
      <w:r>
        <w:rPr>
          <w:b/>
          <w:i/>
        </w:rPr>
        <w:t xml:space="preserve">.,  разница составляет  0,1 </w:t>
      </w:r>
      <w:proofErr w:type="spellStart"/>
      <w:r>
        <w:rPr>
          <w:b/>
          <w:i/>
        </w:rPr>
        <w:t>тыс.руб</w:t>
      </w:r>
      <w:proofErr w:type="spellEnd"/>
      <w:r>
        <w:rPr>
          <w:b/>
          <w:i/>
        </w:rPr>
        <w:t>.</w:t>
      </w:r>
    </w:p>
    <w:p w:rsidR="00A90378" w:rsidRDefault="00A90378" w:rsidP="000933B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 xml:space="preserve">4.3 </w:t>
      </w:r>
      <w:r w:rsidRPr="0039713E">
        <w:rPr>
          <w:b/>
          <w:bCs/>
        </w:rPr>
        <w:t>.</w:t>
      </w:r>
      <w:r w:rsidR="00772F62">
        <w:rPr>
          <w:b/>
          <w:bCs/>
        </w:rPr>
        <w:t xml:space="preserve"> Показатели</w:t>
      </w:r>
      <w:r w:rsidRPr="0039713E">
        <w:rPr>
          <w:b/>
          <w:bCs/>
        </w:rPr>
        <w:t xml:space="preserve">  источн</w:t>
      </w:r>
      <w:r w:rsidR="00772F62">
        <w:rPr>
          <w:b/>
          <w:bCs/>
        </w:rPr>
        <w:t>иков</w:t>
      </w:r>
      <w:r w:rsidRPr="0039713E">
        <w:rPr>
          <w:b/>
          <w:bCs/>
        </w:rPr>
        <w:t xml:space="preserve"> внутреннего финансирования  дефицита   бюджета</w:t>
      </w: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0933B8" w:rsidRPr="00470761" w:rsidRDefault="000933B8" w:rsidP="000933B8">
      <w:pPr>
        <w:autoSpaceDE w:val="0"/>
        <w:autoSpaceDN w:val="0"/>
        <w:adjustRightInd w:val="0"/>
        <w:ind w:firstLine="708"/>
        <w:jc w:val="both"/>
        <w:rPr>
          <w:b/>
          <w:bCs/>
          <w:i/>
        </w:rPr>
      </w:pPr>
      <w:r w:rsidRPr="000933B8">
        <w:rPr>
          <w:bCs/>
        </w:rPr>
        <w:t>Первонач</w:t>
      </w:r>
      <w:r w:rsidR="00E04B91">
        <w:rPr>
          <w:bCs/>
        </w:rPr>
        <w:t>ально   решением о бюджете от 27.12.2018г. № 30</w:t>
      </w:r>
      <w:r w:rsidRPr="000933B8">
        <w:rPr>
          <w:bCs/>
        </w:rPr>
        <w:t xml:space="preserve">-ДГО </w:t>
      </w:r>
      <w:r>
        <w:rPr>
          <w:bCs/>
        </w:rPr>
        <w:t>б</w:t>
      </w:r>
      <w:r w:rsidRPr="0039713E">
        <w:rPr>
          <w:bCs/>
        </w:rPr>
        <w:t>юджет муниципального образования – «гор</w:t>
      </w:r>
      <w:r w:rsidR="00E04B91">
        <w:rPr>
          <w:bCs/>
        </w:rPr>
        <w:t>од Тулун» на 2019</w:t>
      </w:r>
      <w:r w:rsidRPr="0039713E">
        <w:rPr>
          <w:bCs/>
        </w:rPr>
        <w:t xml:space="preserve"> год  утвержден  с дефицитом в объеме</w:t>
      </w:r>
      <w:r>
        <w:rPr>
          <w:bCs/>
        </w:rPr>
        <w:t xml:space="preserve"> </w:t>
      </w:r>
      <w:r w:rsidR="00E04B91">
        <w:rPr>
          <w:bCs/>
        </w:rPr>
        <w:t>22 022,0</w:t>
      </w:r>
      <w:r>
        <w:rPr>
          <w:bCs/>
        </w:rPr>
        <w:t xml:space="preserve"> </w:t>
      </w:r>
      <w:proofErr w:type="spellStart"/>
      <w:r w:rsidRPr="0039713E">
        <w:rPr>
          <w:bCs/>
        </w:rPr>
        <w:t>тыс</w:t>
      </w:r>
      <w:proofErr w:type="gramStart"/>
      <w:r w:rsidRPr="0039713E">
        <w:rPr>
          <w:bCs/>
        </w:rPr>
        <w:t>.р</w:t>
      </w:r>
      <w:proofErr w:type="gramEnd"/>
      <w:r w:rsidRPr="0039713E">
        <w:rPr>
          <w:bCs/>
        </w:rPr>
        <w:t>уб</w:t>
      </w:r>
      <w:proofErr w:type="spellEnd"/>
      <w:r w:rsidRPr="0039713E">
        <w:rPr>
          <w:bCs/>
        </w:rPr>
        <w:t>.</w:t>
      </w:r>
      <w:r w:rsidR="006F271E">
        <w:rPr>
          <w:bCs/>
        </w:rPr>
        <w:t>,</w:t>
      </w:r>
      <w:r w:rsidR="00E04B91">
        <w:rPr>
          <w:bCs/>
        </w:rPr>
        <w:t xml:space="preserve"> в соответствии с изменениями, внесенными решением Думы городского округа от 26.12.2019г. № 30-ДГО</w:t>
      </w:r>
      <w:r w:rsidRPr="0039713E">
        <w:rPr>
          <w:bCs/>
        </w:rPr>
        <w:t xml:space="preserve"> дефицит местного бюджета утвержден в объеме </w:t>
      </w:r>
      <w:r w:rsidR="00E04B91">
        <w:rPr>
          <w:bCs/>
        </w:rPr>
        <w:t>17 509,3</w:t>
      </w:r>
      <w:r w:rsidRPr="0039713E">
        <w:rPr>
          <w:bCs/>
        </w:rPr>
        <w:t xml:space="preserve"> </w:t>
      </w:r>
      <w:proofErr w:type="spellStart"/>
      <w:r w:rsidRPr="0039713E">
        <w:rPr>
          <w:bCs/>
        </w:rPr>
        <w:t>т</w:t>
      </w:r>
      <w:r w:rsidR="00E04B91">
        <w:rPr>
          <w:bCs/>
        </w:rPr>
        <w:t>ыс.руб</w:t>
      </w:r>
      <w:proofErr w:type="spellEnd"/>
      <w:r w:rsidR="00E04B91">
        <w:rPr>
          <w:bCs/>
        </w:rPr>
        <w:t>. По данным отчета за 2019</w:t>
      </w:r>
      <w:r w:rsidRPr="0039713E">
        <w:rPr>
          <w:bCs/>
        </w:rPr>
        <w:t xml:space="preserve"> год</w:t>
      </w:r>
      <w:r w:rsidR="006F271E">
        <w:rPr>
          <w:bCs/>
        </w:rPr>
        <w:t xml:space="preserve"> </w:t>
      </w:r>
      <w:r w:rsidRPr="0039713E">
        <w:t xml:space="preserve">местный  бюджет   исполнен </w:t>
      </w:r>
      <w:r w:rsidRPr="00470761">
        <w:rPr>
          <w:b/>
          <w:bCs/>
          <w:i/>
        </w:rPr>
        <w:t xml:space="preserve">с  профицитом в </w:t>
      </w:r>
      <w:proofErr w:type="gramStart"/>
      <w:r w:rsidRPr="00470761">
        <w:rPr>
          <w:b/>
          <w:bCs/>
          <w:i/>
        </w:rPr>
        <w:t>объеме</w:t>
      </w:r>
      <w:proofErr w:type="gramEnd"/>
      <w:r w:rsidR="00BD5AA6" w:rsidRPr="00470761">
        <w:rPr>
          <w:b/>
          <w:bCs/>
          <w:i/>
        </w:rPr>
        <w:t xml:space="preserve"> </w:t>
      </w:r>
      <w:r w:rsidR="006F271E" w:rsidRPr="00470761">
        <w:rPr>
          <w:b/>
          <w:bCs/>
          <w:i/>
        </w:rPr>
        <w:t xml:space="preserve"> </w:t>
      </w:r>
      <w:r w:rsidR="00E04B91" w:rsidRPr="00470761">
        <w:rPr>
          <w:b/>
          <w:i/>
        </w:rPr>
        <w:t xml:space="preserve">97 601,1 </w:t>
      </w:r>
      <w:r w:rsidRPr="00470761">
        <w:rPr>
          <w:b/>
          <w:bCs/>
          <w:i/>
        </w:rPr>
        <w:t xml:space="preserve">тыс. руб. </w:t>
      </w:r>
    </w:p>
    <w:p w:rsidR="000933B8" w:rsidRPr="00470761" w:rsidRDefault="000933B8" w:rsidP="000933B8">
      <w:pPr>
        <w:autoSpaceDE w:val="0"/>
        <w:autoSpaceDN w:val="0"/>
        <w:adjustRightInd w:val="0"/>
        <w:ind w:firstLine="708"/>
        <w:jc w:val="both"/>
        <w:rPr>
          <w:b/>
          <w:bCs/>
          <w:i/>
        </w:rPr>
      </w:pPr>
    </w:p>
    <w:p w:rsidR="000933B8" w:rsidRPr="0039713E" w:rsidRDefault="000933B8" w:rsidP="000933B8">
      <w:pPr>
        <w:autoSpaceDE w:val="0"/>
        <w:autoSpaceDN w:val="0"/>
        <w:adjustRightInd w:val="0"/>
        <w:ind w:firstLine="708"/>
        <w:jc w:val="both"/>
      </w:pPr>
      <w:r w:rsidRPr="00470761">
        <w:t>Анализ исполнения  бюджета муниципального образования – «город Тулун»  по  источникам внутреннего финансирования де</w:t>
      </w:r>
      <w:r w:rsidR="00BD5AA6" w:rsidRPr="00470761">
        <w:t>фицита местного  бюджета за 2019</w:t>
      </w:r>
      <w:r w:rsidR="006F271E" w:rsidRPr="00470761">
        <w:t xml:space="preserve"> год</w:t>
      </w:r>
      <w:r w:rsidR="00A5404D">
        <w:t xml:space="preserve"> приведен в таблице  № 6</w:t>
      </w:r>
      <w:r>
        <w:t>.</w:t>
      </w:r>
    </w:p>
    <w:p w:rsidR="000933B8" w:rsidRPr="00AA0BAB" w:rsidRDefault="000933B8" w:rsidP="000933B8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Таблица № </w:t>
      </w:r>
      <w:r w:rsidR="006F271E">
        <w:rPr>
          <w:b/>
          <w:sz w:val="20"/>
          <w:szCs w:val="20"/>
        </w:rPr>
        <w:t>6</w:t>
      </w:r>
      <w:r w:rsidRPr="005F7CDC">
        <w:rPr>
          <w:b/>
          <w:sz w:val="20"/>
          <w:szCs w:val="20"/>
        </w:rPr>
        <w:t xml:space="preserve"> 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0933B8" w:rsidRPr="00A57033" w:rsidTr="008A4935">
        <w:tc>
          <w:tcPr>
            <w:tcW w:w="6629" w:type="dxa"/>
            <w:vAlign w:val="center"/>
          </w:tcPr>
          <w:p w:rsidR="000933B8" w:rsidRPr="006D0AFD" w:rsidRDefault="000933B8" w:rsidP="008A4935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D5AA6" w:rsidRDefault="00BD5AA6" w:rsidP="008A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  <w:p w:rsidR="000933B8" w:rsidRPr="006D0AFD" w:rsidRDefault="00BD5AA6" w:rsidP="008A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="000933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0933B8" w:rsidRPr="006D0AFD" w:rsidRDefault="000933B8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</w:tr>
      <w:tr w:rsidR="000933B8" w:rsidRPr="00A57033" w:rsidTr="008A4935">
        <w:tc>
          <w:tcPr>
            <w:tcW w:w="6629" w:type="dxa"/>
          </w:tcPr>
          <w:p w:rsidR="000933B8" w:rsidRPr="006D0AFD" w:rsidRDefault="000933B8" w:rsidP="008A4935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933B8" w:rsidRPr="006D0AFD" w:rsidRDefault="00BD5AA6" w:rsidP="008A49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14 822,3</w:t>
            </w:r>
          </w:p>
        </w:tc>
        <w:tc>
          <w:tcPr>
            <w:tcW w:w="1559" w:type="dxa"/>
            <w:vAlign w:val="center"/>
          </w:tcPr>
          <w:p w:rsidR="000933B8" w:rsidRPr="006D0AFD" w:rsidRDefault="000933B8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0</w:t>
            </w:r>
          </w:p>
        </w:tc>
      </w:tr>
      <w:tr w:rsidR="000933B8" w:rsidRPr="00A57033" w:rsidTr="008A4935">
        <w:tc>
          <w:tcPr>
            <w:tcW w:w="6629" w:type="dxa"/>
          </w:tcPr>
          <w:p w:rsidR="000933B8" w:rsidRPr="006D0AFD" w:rsidRDefault="000933B8" w:rsidP="008A4935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933B8" w:rsidRPr="006D0AFD" w:rsidRDefault="00BD5AA6" w:rsidP="008A49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- 245,7</w:t>
            </w:r>
          </w:p>
        </w:tc>
        <w:tc>
          <w:tcPr>
            <w:tcW w:w="1559" w:type="dxa"/>
            <w:vAlign w:val="center"/>
          </w:tcPr>
          <w:p w:rsidR="000933B8" w:rsidRPr="006D0AFD" w:rsidRDefault="00BD5AA6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-245,7</w:t>
            </w:r>
          </w:p>
        </w:tc>
      </w:tr>
      <w:tr w:rsidR="000933B8" w:rsidRPr="00A57033" w:rsidTr="008A4935">
        <w:tc>
          <w:tcPr>
            <w:tcW w:w="6629" w:type="dxa"/>
          </w:tcPr>
          <w:p w:rsidR="000933B8" w:rsidRPr="006D0AFD" w:rsidRDefault="000933B8" w:rsidP="008A4935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0933B8" w:rsidRPr="006D0AFD" w:rsidRDefault="00BD5AA6" w:rsidP="008A493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2 932,7</w:t>
            </w:r>
          </w:p>
        </w:tc>
        <w:tc>
          <w:tcPr>
            <w:tcW w:w="1559" w:type="dxa"/>
            <w:vAlign w:val="center"/>
          </w:tcPr>
          <w:p w:rsidR="000933B8" w:rsidRPr="006D0AFD" w:rsidRDefault="00BD5AA6" w:rsidP="008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- 97 355,4</w:t>
            </w:r>
          </w:p>
        </w:tc>
      </w:tr>
      <w:tr w:rsidR="000933B8" w:rsidRPr="00A57033" w:rsidTr="008A49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8" w:rsidRPr="006D0AFD" w:rsidRDefault="000933B8" w:rsidP="008A49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8" w:rsidRPr="006D0AFD" w:rsidRDefault="00BD5AA6" w:rsidP="008A493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17 509,3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8" w:rsidRPr="006D0AFD" w:rsidRDefault="00BD5AA6" w:rsidP="008A49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- 97 601,1</w:t>
            </w:r>
          </w:p>
        </w:tc>
      </w:tr>
    </w:tbl>
    <w:p w:rsidR="000933B8" w:rsidRDefault="00BD5AA6" w:rsidP="000933B8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BD5AA6" w:rsidRPr="00BD5AA6" w:rsidRDefault="00BD5AA6" w:rsidP="000933B8">
      <w:pPr>
        <w:autoSpaceDE w:val="0"/>
        <w:autoSpaceDN w:val="0"/>
        <w:adjustRightInd w:val="0"/>
        <w:ind w:firstLine="708"/>
        <w:jc w:val="both"/>
      </w:pPr>
      <w:r>
        <w:t xml:space="preserve">В 2019 году запланированное получение </w:t>
      </w:r>
      <w:r w:rsidRPr="00BD5AA6">
        <w:rPr>
          <w:iCs/>
        </w:rPr>
        <w:t>кредитов от кредитных организаций  в валюте Российской Федерации</w:t>
      </w:r>
      <w:r>
        <w:rPr>
          <w:iCs/>
        </w:rPr>
        <w:t xml:space="preserve"> не производилось.</w:t>
      </w:r>
    </w:p>
    <w:p w:rsidR="00897AC8" w:rsidRDefault="00897AC8" w:rsidP="00470761">
      <w:pPr>
        <w:ind w:right="-5"/>
        <w:rPr>
          <w:rFonts w:cs="Arial"/>
          <w:b/>
        </w:rPr>
      </w:pPr>
    </w:p>
    <w:p w:rsidR="00F653E4" w:rsidRPr="0039713E" w:rsidRDefault="00F653E4" w:rsidP="00F653E4">
      <w:pPr>
        <w:ind w:right="-5" w:firstLine="567"/>
        <w:jc w:val="center"/>
        <w:rPr>
          <w:b/>
        </w:rPr>
      </w:pPr>
      <w:r w:rsidRPr="0039713E">
        <w:rPr>
          <w:rFonts w:cs="Arial"/>
          <w:b/>
        </w:rPr>
        <w:t>4.</w:t>
      </w:r>
      <w:r>
        <w:rPr>
          <w:rFonts w:cs="Arial"/>
          <w:b/>
        </w:rPr>
        <w:t xml:space="preserve">4. </w:t>
      </w:r>
      <w:r w:rsidRPr="0039713E">
        <w:rPr>
          <w:rFonts w:cs="Arial"/>
          <w:b/>
        </w:rPr>
        <w:t>Анализ состояния муниципального</w:t>
      </w:r>
      <w:r w:rsidRPr="0039713E">
        <w:rPr>
          <w:b/>
        </w:rPr>
        <w:t xml:space="preserve"> долга</w:t>
      </w:r>
    </w:p>
    <w:p w:rsidR="00F653E4" w:rsidRPr="0039713E" w:rsidRDefault="00F653E4" w:rsidP="00F653E4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B6071D" w:rsidRPr="00B6071D" w:rsidRDefault="00B6071D" w:rsidP="00F653E4">
      <w:pPr>
        <w:widowControl w:val="0"/>
        <w:autoSpaceDE w:val="0"/>
        <w:autoSpaceDN w:val="0"/>
        <w:adjustRightInd w:val="0"/>
        <w:ind w:firstLine="540"/>
        <w:jc w:val="both"/>
      </w:pPr>
      <w:r w:rsidRPr="00B6071D">
        <w:rPr>
          <w:rFonts w:cs="Arial"/>
        </w:rPr>
        <w:t>По состоянию на 01 января 2020 года муниципальный долг</w:t>
      </w:r>
      <w:r w:rsidR="00F653E4" w:rsidRPr="00B6071D">
        <w:rPr>
          <w:rFonts w:cs="Arial"/>
        </w:rPr>
        <w:t xml:space="preserve"> </w:t>
      </w:r>
      <w:r w:rsidR="00F653E4" w:rsidRPr="00B6071D">
        <w:t xml:space="preserve">муниципального образования – «город Тулун» </w:t>
      </w:r>
      <w:r w:rsidRPr="00B6071D">
        <w:t>отсутствует.</w:t>
      </w:r>
    </w:p>
    <w:p w:rsidR="00B6071D" w:rsidRPr="00B6071D" w:rsidRDefault="00B6071D" w:rsidP="00B6071D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  <w:r w:rsidRPr="00B6071D">
        <w:t>Правительством Иркутской области в 2019 году проведена реструктуризация обязательств (задолженности) для муниципальных образований Иркутской области, пострадавших в результате чрезвычайной ситуации, сложившейся на территории Иркутской области в 2019 году. Задолженность по бюджетным кредитам списана в полном объеме.</w:t>
      </w:r>
      <w:r>
        <w:t xml:space="preserve"> Другие кредиты  в 2019 году муниципальным</w:t>
      </w:r>
      <w:r w:rsidRPr="00B6071D">
        <w:t xml:space="preserve"> о</w:t>
      </w:r>
      <w:r>
        <w:t>бразованием</w:t>
      </w:r>
      <w:r w:rsidRPr="00B6071D">
        <w:t xml:space="preserve"> – «город Тулун»</w:t>
      </w:r>
      <w:r>
        <w:t xml:space="preserve"> не привлекались.</w:t>
      </w:r>
    </w:p>
    <w:p w:rsidR="00F653E4" w:rsidRDefault="00556CB8" w:rsidP="00F653E4">
      <w:pPr>
        <w:autoSpaceDE w:val="0"/>
        <w:autoSpaceDN w:val="0"/>
        <w:adjustRightInd w:val="0"/>
        <w:jc w:val="both"/>
      </w:pPr>
      <w:r w:rsidRPr="00556CB8">
        <w:t>Нарушений предельного значения муниципального долга, установленного ст. 107 Бюджетного кодекса РФ не установлено.</w:t>
      </w:r>
    </w:p>
    <w:p w:rsidR="00556CB8" w:rsidRDefault="00556CB8" w:rsidP="00F653E4">
      <w:pPr>
        <w:autoSpaceDE w:val="0"/>
        <w:autoSpaceDN w:val="0"/>
        <w:adjustRightInd w:val="0"/>
        <w:jc w:val="both"/>
      </w:pPr>
    </w:p>
    <w:p w:rsidR="00B6071D" w:rsidRPr="00A57033" w:rsidRDefault="00B6071D" w:rsidP="00F653E4">
      <w:pPr>
        <w:autoSpaceDE w:val="0"/>
        <w:autoSpaceDN w:val="0"/>
        <w:adjustRightInd w:val="0"/>
        <w:jc w:val="both"/>
      </w:pPr>
    </w:p>
    <w:p w:rsidR="000933B8" w:rsidRPr="00772F62" w:rsidRDefault="00772F62" w:rsidP="00EC35DC">
      <w:pPr>
        <w:ind w:right="-5" w:firstLine="567"/>
        <w:jc w:val="center"/>
        <w:rPr>
          <w:rFonts w:cs="Arial"/>
          <w:b/>
        </w:rPr>
      </w:pPr>
      <w:r w:rsidRPr="00772F62">
        <w:rPr>
          <w:rFonts w:cs="Arial"/>
          <w:b/>
        </w:rPr>
        <w:t>4.</w:t>
      </w:r>
      <w:r w:rsidR="00F653E4">
        <w:rPr>
          <w:rFonts w:cs="Arial"/>
          <w:b/>
        </w:rPr>
        <w:t>5</w:t>
      </w:r>
      <w:r w:rsidRPr="00772F62">
        <w:rPr>
          <w:rFonts w:cs="Arial"/>
          <w:b/>
        </w:rPr>
        <w:t xml:space="preserve">. </w:t>
      </w:r>
      <w:r>
        <w:rPr>
          <w:rFonts w:cs="Arial"/>
          <w:b/>
        </w:rPr>
        <w:t>Отчет об использовании ассигнований резервного фонда</w:t>
      </w:r>
    </w:p>
    <w:p w:rsidR="000933B8" w:rsidRPr="00772F62" w:rsidRDefault="000933B8" w:rsidP="00EC35DC">
      <w:pPr>
        <w:ind w:right="-5" w:firstLine="567"/>
        <w:jc w:val="center"/>
        <w:rPr>
          <w:rFonts w:cs="Arial"/>
        </w:rPr>
      </w:pPr>
    </w:p>
    <w:p w:rsidR="00772F62" w:rsidRPr="00772F62" w:rsidRDefault="00772F62" w:rsidP="007477CA">
      <w:pPr>
        <w:ind w:right="-5" w:firstLine="567"/>
        <w:jc w:val="both"/>
        <w:rPr>
          <w:rFonts w:cs="Arial"/>
        </w:rPr>
      </w:pPr>
      <w:r w:rsidRPr="00772F62">
        <w:rPr>
          <w:rFonts w:cs="Arial"/>
        </w:rPr>
        <w:t xml:space="preserve">Отчет об использовании ассигнований резервного фонда представлен в приложении </w:t>
      </w:r>
      <w:r w:rsidR="00B6071D">
        <w:rPr>
          <w:rFonts w:cs="Arial"/>
        </w:rPr>
        <w:t>№ 6 к проекту решения Думы</w:t>
      </w:r>
      <w:r>
        <w:rPr>
          <w:rFonts w:cs="Arial"/>
        </w:rPr>
        <w:t xml:space="preserve">, в котором указано об использовании ассигнований резервного фонда  </w:t>
      </w:r>
      <w:r w:rsidRPr="00772F62">
        <w:rPr>
          <w:rFonts w:cs="Arial"/>
        </w:rPr>
        <w:t>Администрации городского округа муниципального образования – «город Тулун»</w:t>
      </w:r>
      <w:r w:rsidR="00472FB1">
        <w:rPr>
          <w:rFonts w:cs="Arial"/>
        </w:rPr>
        <w:t xml:space="preserve"> </w:t>
      </w:r>
      <w:r w:rsidR="00126E81">
        <w:rPr>
          <w:rFonts w:cs="Arial"/>
        </w:rPr>
        <w:t>за 2019</w:t>
      </w:r>
      <w:r>
        <w:rPr>
          <w:rFonts w:cs="Arial"/>
        </w:rPr>
        <w:t xml:space="preserve"> год.</w:t>
      </w:r>
    </w:p>
    <w:p w:rsidR="007477CA" w:rsidRDefault="00772F62" w:rsidP="00772F62">
      <w:pPr>
        <w:ind w:right="-5" w:firstLine="567"/>
        <w:jc w:val="both"/>
        <w:rPr>
          <w:rFonts w:cs="Arial"/>
        </w:rPr>
      </w:pPr>
      <w:r>
        <w:rPr>
          <w:rFonts w:cs="Arial"/>
        </w:rPr>
        <w:t xml:space="preserve">Согласно Решению о бюджете </w:t>
      </w:r>
      <w:r w:rsidR="007477CA">
        <w:rPr>
          <w:rFonts w:cs="Arial"/>
        </w:rPr>
        <w:t>от 27.12.2018г. № 30-ДГО на 2019</w:t>
      </w:r>
      <w:r w:rsidRPr="00772F62">
        <w:rPr>
          <w:rFonts w:cs="Arial"/>
        </w:rPr>
        <w:t xml:space="preserve"> год утверждены бюджетны</w:t>
      </w:r>
      <w:r w:rsidR="007477CA">
        <w:rPr>
          <w:rFonts w:cs="Arial"/>
        </w:rPr>
        <w:t>е ассигнования резервного фонда а</w:t>
      </w:r>
      <w:r w:rsidRPr="00772F62">
        <w:rPr>
          <w:rFonts w:cs="Arial"/>
        </w:rPr>
        <w:t xml:space="preserve">дминистрации городского округа муниципального образования – «город Тулун» в объеме  500,0 </w:t>
      </w:r>
      <w:proofErr w:type="spellStart"/>
      <w:r w:rsidRPr="00772F62">
        <w:rPr>
          <w:rFonts w:cs="Arial"/>
        </w:rPr>
        <w:t>тыс</w:t>
      </w:r>
      <w:proofErr w:type="gramStart"/>
      <w:r w:rsidRPr="00772F62">
        <w:rPr>
          <w:rFonts w:cs="Arial"/>
        </w:rPr>
        <w:t>.р</w:t>
      </w:r>
      <w:proofErr w:type="gramEnd"/>
      <w:r w:rsidRPr="00772F62">
        <w:rPr>
          <w:rFonts w:cs="Arial"/>
        </w:rPr>
        <w:t>уб</w:t>
      </w:r>
      <w:proofErr w:type="spellEnd"/>
      <w:r w:rsidRPr="00772F62">
        <w:rPr>
          <w:rFonts w:cs="Arial"/>
        </w:rPr>
        <w:t>.  Средства</w:t>
      </w:r>
      <w:r w:rsidR="007477CA">
        <w:rPr>
          <w:rFonts w:cs="Arial"/>
        </w:rPr>
        <w:t xml:space="preserve"> резервного фонда администрацией</w:t>
      </w:r>
      <w:r w:rsidR="007477CA" w:rsidRPr="00772F62">
        <w:rPr>
          <w:rFonts w:cs="Arial"/>
        </w:rPr>
        <w:t xml:space="preserve"> городского округа муниципального образования – «город Тулун» </w:t>
      </w:r>
      <w:r w:rsidR="007477CA">
        <w:rPr>
          <w:rFonts w:cs="Arial"/>
        </w:rPr>
        <w:t xml:space="preserve">использованы </w:t>
      </w:r>
      <w:r w:rsidR="007477CA" w:rsidRPr="00772F62">
        <w:rPr>
          <w:rFonts w:cs="Arial"/>
        </w:rPr>
        <w:t>в</w:t>
      </w:r>
      <w:r w:rsidR="007477CA">
        <w:rPr>
          <w:rFonts w:cs="Arial"/>
        </w:rPr>
        <w:t xml:space="preserve"> полном объеме предусмотренных средств, в том числе:</w:t>
      </w:r>
    </w:p>
    <w:p w:rsidR="007477CA" w:rsidRDefault="007477CA" w:rsidP="00772F62">
      <w:pPr>
        <w:ind w:right="-5" w:firstLine="567"/>
        <w:jc w:val="both"/>
        <w:rPr>
          <w:rFonts w:cs="Arial"/>
        </w:rPr>
      </w:pPr>
      <w:r>
        <w:rPr>
          <w:rFonts w:cs="Arial"/>
        </w:rPr>
        <w:lastRenderedPageBreak/>
        <w:t xml:space="preserve">-  </w:t>
      </w:r>
      <w:r w:rsidRPr="00772F62">
        <w:rPr>
          <w:rFonts w:cs="Arial"/>
        </w:rPr>
        <w:t xml:space="preserve"> </w:t>
      </w:r>
      <w:r>
        <w:rPr>
          <w:rFonts w:cs="Arial"/>
        </w:rPr>
        <w:t xml:space="preserve">в размере 293,6 </w:t>
      </w:r>
      <w:proofErr w:type="spellStart"/>
      <w:r w:rsidR="00772F62" w:rsidRPr="00772F62">
        <w:rPr>
          <w:rFonts w:cs="Arial"/>
        </w:rPr>
        <w:t>тыс</w:t>
      </w:r>
      <w:proofErr w:type="gramStart"/>
      <w:r w:rsidR="00772F62" w:rsidRPr="00772F62">
        <w:rPr>
          <w:rFonts w:cs="Arial"/>
        </w:rPr>
        <w:t>.р</w:t>
      </w:r>
      <w:proofErr w:type="gramEnd"/>
      <w:r w:rsidR="00772F62" w:rsidRPr="00772F62">
        <w:rPr>
          <w:rFonts w:cs="Arial"/>
        </w:rPr>
        <w:t>уб</w:t>
      </w:r>
      <w:proofErr w:type="spellEnd"/>
      <w:r w:rsidR="00772F62" w:rsidRPr="00772F62">
        <w:rPr>
          <w:rFonts w:cs="Arial"/>
        </w:rPr>
        <w:t xml:space="preserve">. использованы на проведение аварийно-восстановительных работ </w:t>
      </w:r>
      <w:r w:rsidRPr="007477CA">
        <w:rPr>
          <w:rFonts w:eastAsia="Calibri"/>
          <w:lang w:eastAsia="en-US"/>
        </w:rPr>
        <w:t xml:space="preserve">связанных с предупреждением и  ликвидацией последствий чрезвычайной ситуации – </w:t>
      </w:r>
      <w:r>
        <w:rPr>
          <w:rFonts w:eastAsia="Calibri"/>
          <w:lang w:eastAsia="en-US"/>
        </w:rPr>
        <w:t>У</w:t>
      </w:r>
      <w:r w:rsidRPr="007477CA">
        <w:rPr>
          <w:rFonts w:eastAsia="Calibri"/>
          <w:lang w:eastAsia="en-US"/>
        </w:rPr>
        <w:t>крепление дамбы, устройство временных</w:t>
      </w:r>
      <w:r>
        <w:rPr>
          <w:rFonts w:eastAsia="Calibri"/>
          <w:lang w:eastAsia="en-US"/>
        </w:rPr>
        <w:t xml:space="preserve"> плотин</w:t>
      </w:r>
      <w:r>
        <w:rPr>
          <w:rFonts w:cs="Arial"/>
        </w:rPr>
        <w:t>;</w:t>
      </w:r>
    </w:p>
    <w:p w:rsidR="00472FB1" w:rsidRDefault="007477CA" w:rsidP="00772F62">
      <w:pPr>
        <w:ind w:right="-5" w:firstLine="567"/>
        <w:jc w:val="both"/>
        <w:rPr>
          <w:rFonts w:eastAsia="Calibri"/>
          <w:lang w:eastAsia="en-US"/>
        </w:rPr>
      </w:pPr>
      <w:r>
        <w:rPr>
          <w:rFonts w:cs="Arial"/>
        </w:rPr>
        <w:t xml:space="preserve">- </w:t>
      </w:r>
      <w:r w:rsidR="00772F62" w:rsidRPr="00772F62">
        <w:rPr>
          <w:rFonts w:cs="Arial"/>
        </w:rPr>
        <w:t xml:space="preserve"> </w:t>
      </w:r>
      <w:r>
        <w:rPr>
          <w:rFonts w:cs="Arial"/>
        </w:rPr>
        <w:t xml:space="preserve">в размере 206,4 </w:t>
      </w:r>
      <w:proofErr w:type="spellStart"/>
      <w:r w:rsidRPr="00772F62">
        <w:rPr>
          <w:rFonts w:cs="Arial"/>
        </w:rPr>
        <w:t>тыс</w:t>
      </w:r>
      <w:proofErr w:type="gramStart"/>
      <w:r w:rsidRPr="00772F62">
        <w:rPr>
          <w:rFonts w:cs="Arial"/>
        </w:rPr>
        <w:t>.р</w:t>
      </w:r>
      <w:proofErr w:type="gramEnd"/>
      <w:r w:rsidRPr="00772F62">
        <w:rPr>
          <w:rFonts w:cs="Arial"/>
        </w:rPr>
        <w:t>уб</w:t>
      </w:r>
      <w:proofErr w:type="spellEnd"/>
      <w:r w:rsidRPr="00772F62">
        <w:rPr>
          <w:rFonts w:cs="Arial"/>
        </w:rPr>
        <w:t xml:space="preserve">. использованы на проведение аварийно-восстановительных работ </w:t>
      </w:r>
      <w:r w:rsidRPr="007477CA">
        <w:rPr>
          <w:rFonts w:eastAsia="Calibri"/>
          <w:lang w:eastAsia="en-US"/>
        </w:rPr>
        <w:t>связанных с предупреждением и  ликвидацией последствий чрезвычайной ситуации –</w:t>
      </w:r>
      <w:r w:rsidRPr="007477CA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Расчистка дорог от завалов. П</w:t>
      </w:r>
      <w:r w:rsidRPr="007477CA">
        <w:rPr>
          <w:rFonts w:eastAsia="Calibri"/>
          <w:lang w:eastAsia="en-US"/>
        </w:rPr>
        <w:t>ланировка дорог.</w:t>
      </w:r>
    </w:p>
    <w:p w:rsidR="007477CA" w:rsidRDefault="007477CA" w:rsidP="00772F62">
      <w:pPr>
        <w:ind w:right="-5" w:firstLine="567"/>
        <w:jc w:val="both"/>
        <w:rPr>
          <w:rFonts w:eastAsia="Calibri"/>
          <w:lang w:eastAsia="en-US"/>
        </w:rPr>
      </w:pPr>
    </w:p>
    <w:p w:rsidR="007477CA" w:rsidRDefault="007477CA" w:rsidP="00772F62">
      <w:pPr>
        <w:ind w:right="-5" w:firstLine="567"/>
        <w:jc w:val="both"/>
        <w:rPr>
          <w:rFonts w:cs="Arial"/>
        </w:rPr>
      </w:pPr>
    </w:p>
    <w:p w:rsidR="00472FB1" w:rsidRDefault="00472FB1" w:rsidP="00472FB1">
      <w:pPr>
        <w:ind w:right="-5" w:firstLine="567"/>
        <w:jc w:val="center"/>
        <w:rPr>
          <w:rFonts w:cs="Arial"/>
          <w:b/>
        </w:rPr>
      </w:pPr>
      <w:r>
        <w:rPr>
          <w:rFonts w:cs="Arial"/>
          <w:b/>
        </w:rPr>
        <w:t>4.</w:t>
      </w:r>
      <w:r w:rsidR="00F653E4">
        <w:rPr>
          <w:rFonts w:cs="Arial"/>
          <w:b/>
        </w:rPr>
        <w:t>6</w:t>
      </w:r>
      <w:r w:rsidRPr="00472FB1">
        <w:rPr>
          <w:rFonts w:cs="Arial"/>
          <w:b/>
        </w:rPr>
        <w:t xml:space="preserve">. </w:t>
      </w:r>
      <w:r>
        <w:rPr>
          <w:rFonts w:cs="Arial"/>
          <w:b/>
        </w:rPr>
        <w:t>Отчет об использовании бюджетных ассигнований дорожного фонда</w:t>
      </w:r>
    </w:p>
    <w:p w:rsidR="00472FB1" w:rsidRDefault="00472FB1" w:rsidP="00472FB1">
      <w:pPr>
        <w:ind w:right="-5" w:firstLine="567"/>
        <w:jc w:val="both"/>
        <w:rPr>
          <w:rFonts w:cs="Arial"/>
        </w:rPr>
      </w:pPr>
    </w:p>
    <w:p w:rsidR="00472FB1" w:rsidRDefault="00472FB1" w:rsidP="00472FB1">
      <w:pPr>
        <w:ind w:right="-5" w:firstLine="567"/>
        <w:jc w:val="both"/>
        <w:rPr>
          <w:rFonts w:cs="Arial"/>
        </w:rPr>
      </w:pPr>
      <w:r w:rsidRPr="00472FB1">
        <w:rPr>
          <w:rFonts w:cs="Arial"/>
        </w:rPr>
        <w:t xml:space="preserve">Отчет </w:t>
      </w:r>
      <w:r>
        <w:rPr>
          <w:rFonts w:cs="Arial"/>
        </w:rPr>
        <w:t>об использовании бюджетных ассигнований дорожного фонда му</w:t>
      </w:r>
      <w:r w:rsidR="00D676B1">
        <w:rPr>
          <w:rFonts w:cs="Arial"/>
        </w:rPr>
        <w:t>ниципального образования за 2019</w:t>
      </w:r>
      <w:r>
        <w:rPr>
          <w:rFonts w:cs="Arial"/>
        </w:rPr>
        <w:t xml:space="preserve"> год, представлен в </w:t>
      </w:r>
      <w:r w:rsidRPr="00472FB1">
        <w:rPr>
          <w:rFonts w:cs="Arial"/>
        </w:rPr>
        <w:t>прил</w:t>
      </w:r>
      <w:r>
        <w:rPr>
          <w:rFonts w:cs="Arial"/>
        </w:rPr>
        <w:t xml:space="preserve">ожении </w:t>
      </w:r>
      <w:r w:rsidR="00D676B1">
        <w:rPr>
          <w:rFonts w:cs="Arial"/>
        </w:rPr>
        <w:t>№ 7 к проекту решения Думы</w:t>
      </w:r>
      <w:r>
        <w:rPr>
          <w:rFonts w:cs="Arial"/>
        </w:rPr>
        <w:t>.</w:t>
      </w:r>
    </w:p>
    <w:p w:rsidR="00DC3139" w:rsidRPr="00E6645B" w:rsidRDefault="00D676B1" w:rsidP="00E6645B">
      <w:pPr>
        <w:ind w:right="-5" w:firstLine="567"/>
        <w:jc w:val="both"/>
        <w:rPr>
          <w:rFonts w:cs="Arial"/>
        </w:rPr>
      </w:pPr>
      <w:r>
        <w:rPr>
          <w:rFonts w:cs="Arial"/>
        </w:rPr>
        <w:t>Решением Думы городского округа о бюджете от 27</w:t>
      </w:r>
      <w:r w:rsidR="00472FB1">
        <w:rPr>
          <w:rFonts w:cs="Arial"/>
        </w:rPr>
        <w:t>.12.</w:t>
      </w:r>
      <w:r>
        <w:rPr>
          <w:rFonts w:cs="Arial"/>
        </w:rPr>
        <w:t>2018г №30</w:t>
      </w:r>
      <w:r w:rsidR="00472FB1">
        <w:rPr>
          <w:rFonts w:cs="Arial"/>
        </w:rPr>
        <w:t>-ДГО в окончательной редакции объем дорож</w:t>
      </w:r>
      <w:r>
        <w:rPr>
          <w:rFonts w:cs="Arial"/>
        </w:rPr>
        <w:t xml:space="preserve">ного фонда утвержден в размере </w:t>
      </w:r>
      <w:r w:rsidR="00472FB1">
        <w:rPr>
          <w:rFonts w:cs="Arial"/>
        </w:rPr>
        <w:t xml:space="preserve"> </w:t>
      </w:r>
      <w:r>
        <w:rPr>
          <w:rFonts w:cs="Arial"/>
        </w:rPr>
        <w:t>111 084,4</w:t>
      </w:r>
      <w:r w:rsidR="007D6E72">
        <w:rPr>
          <w:rFonts w:cs="Arial"/>
        </w:rPr>
        <w:t xml:space="preserve"> </w:t>
      </w:r>
      <w:proofErr w:type="spellStart"/>
      <w:r w:rsidR="007D6E72">
        <w:rPr>
          <w:rFonts w:cs="Arial"/>
        </w:rPr>
        <w:t>тыс</w:t>
      </w:r>
      <w:proofErr w:type="gramStart"/>
      <w:r>
        <w:rPr>
          <w:rFonts w:cs="Arial"/>
        </w:rPr>
        <w:t>.</w:t>
      </w:r>
      <w:r w:rsidR="007D6E72">
        <w:rPr>
          <w:rFonts w:cs="Arial"/>
        </w:rPr>
        <w:t>р</w:t>
      </w:r>
      <w:proofErr w:type="gramEnd"/>
      <w:r w:rsidR="007D6E72">
        <w:rPr>
          <w:rFonts w:cs="Arial"/>
        </w:rPr>
        <w:t>уб</w:t>
      </w:r>
      <w:proofErr w:type="spellEnd"/>
      <w:r>
        <w:rPr>
          <w:rFonts w:cs="Arial"/>
        </w:rPr>
        <w:t>.</w:t>
      </w:r>
      <w:r w:rsidR="007D6E72">
        <w:rPr>
          <w:rFonts w:cs="Arial"/>
        </w:rPr>
        <w:t>, остаток бюджетных ассигно</w:t>
      </w:r>
      <w:r>
        <w:rPr>
          <w:rFonts w:cs="Arial"/>
        </w:rPr>
        <w:t>ваний по состоянию на 01.01.2019г. составлял 141,4</w:t>
      </w:r>
      <w:r w:rsidR="007D6E72">
        <w:rPr>
          <w:rFonts w:cs="Arial"/>
        </w:rPr>
        <w:t xml:space="preserve"> </w:t>
      </w:r>
      <w:proofErr w:type="spellStart"/>
      <w:r w:rsidR="007D6E72">
        <w:rPr>
          <w:rFonts w:cs="Arial"/>
        </w:rPr>
        <w:t>тыс</w:t>
      </w:r>
      <w:r>
        <w:rPr>
          <w:rFonts w:cs="Arial"/>
        </w:rPr>
        <w:t>.</w:t>
      </w:r>
      <w:r w:rsidR="007D6E72">
        <w:rPr>
          <w:rFonts w:cs="Arial"/>
        </w:rPr>
        <w:t>руб</w:t>
      </w:r>
      <w:proofErr w:type="spellEnd"/>
      <w:r>
        <w:rPr>
          <w:rFonts w:cs="Arial"/>
        </w:rPr>
        <w:t>. Доходы дорожного фонда за 2019</w:t>
      </w:r>
      <w:r w:rsidR="007D6E72">
        <w:rPr>
          <w:rFonts w:cs="Arial"/>
        </w:rPr>
        <w:t xml:space="preserve"> год сфор</w:t>
      </w:r>
      <w:r>
        <w:rPr>
          <w:rFonts w:cs="Arial"/>
        </w:rPr>
        <w:t>мированы в объеме 111 084,4</w:t>
      </w:r>
      <w:r w:rsidR="007D6E72">
        <w:rPr>
          <w:rFonts w:cs="Arial"/>
        </w:rPr>
        <w:t xml:space="preserve"> </w:t>
      </w:r>
      <w:proofErr w:type="spellStart"/>
      <w:r w:rsidR="007D6E72">
        <w:rPr>
          <w:rFonts w:cs="Arial"/>
        </w:rPr>
        <w:t>тыс</w:t>
      </w:r>
      <w:r>
        <w:rPr>
          <w:rFonts w:cs="Arial"/>
        </w:rPr>
        <w:t>.</w:t>
      </w:r>
      <w:r w:rsidR="007D6E72">
        <w:rPr>
          <w:rFonts w:cs="Arial"/>
        </w:rPr>
        <w:t>руб</w:t>
      </w:r>
      <w:proofErr w:type="spellEnd"/>
      <w:r>
        <w:rPr>
          <w:rFonts w:cs="Arial"/>
        </w:rPr>
        <w:t>.</w:t>
      </w:r>
      <w:r w:rsidR="00294544">
        <w:rPr>
          <w:rFonts w:cs="Arial"/>
        </w:rPr>
        <w:t xml:space="preserve">, </w:t>
      </w:r>
      <w:r w:rsidR="00685A62">
        <w:rPr>
          <w:rFonts w:cs="Arial"/>
        </w:rPr>
        <w:t xml:space="preserve">исполнение составило 85,6% или 74 177,3 </w:t>
      </w:r>
      <w:proofErr w:type="spellStart"/>
      <w:r w:rsidR="00685A62">
        <w:rPr>
          <w:rFonts w:cs="Arial"/>
        </w:rPr>
        <w:t>тыс.руб</w:t>
      </w:r>
      <w:proofErr w:type="spellEnd"/>
      <w:r w:rsidR="00685A62">
        <w:rPr>
          <w:rFonts w:cs="Arial"/>
        </w:rPr>
        <w:t>. Р</w:t>
      </w:r>
      <w:r w:rsidR="001A516A">
        <w:rPr>
          <w:rFonts w:cs="Arial"/>
        </w:rPr>
        <w:t>асходы</w:t>
      </w:r>
      <w:r w:rsidRPr="00D676B1">
        <w:rPr>
          <w:rFonts w:cs="Arial"/>
        </w:rPr>
        <w:t xml:space="preserve"> </w:t>
      </w:r>
      <w:r>
        <w:rPr>
          <w:rFonts w:cs="Arial"/>
        </w:rPr>
        <w:t>дорожного фонда с учетом остатка средств составили 111 225,8</w:t>
      </w:r>
      <w:r w:rsidR="001A516A">
        <w:rPr>
          <w:rFonts w:cs="Arial"/>
        </w:rPr>
        <w:t xml:space="preserve"> </w:t>
      </w:r>
      <w:proofErr w:type="spellStart"/>
      <w:r w:rsidR="001A516A">
        <w:rPr>
          <w:rFonts w:cs="Arial"/>
        </w:rPr>
        <w:t>тыс</w:t>
      </w:r>
      <w:proofErr w:type="gramStart"/>
      <w:r>
        <w:rPr>
          <w:rFonts w:cs="Arial"/>
        </w:rPr>
        <w:t>.</w:t>
      </w:r>
      <w:r w:rsidR="001A516A">
        <w:rPr>
          <w:rFonts w:cs="Arial"/>
        </w:rPr>
        <w:t>р</w:t>
      </w:r>
      <w:proofErr w:type="gramEnd"/>
      <w:r w:rsidR="001A516A">
        <w:rPr>
          <w:rFonts w:cs="Arial"/>
        </w:rPr>
        <w:t>уб</w:t>
      </w:r>
      <w:proofErr w:type="spellEnd"/>
      <w:r>
        <w:rPr>
          <w:rFonts w:cs="Arial"/>
        </w:rPr>
        <w:t>.</w:t>
      </w:r>
      <w:r w:rsidR="001A516A">
        <w:rPr>
          <w:rFonts w:cs="Arial"/>
        </w:rPr>
        <w:t xml:space="preserve">, исполнение которых </w:t>
      </w:r>
      <w:r w:rsidR="00323669">
        <w:rPr>
          <w:rFonts w:cs="Arial"/>
        </w:rPr>
        <w:t xml:space="preserve">составило 85,3% или 73 997,6 </w:t>
      </w:r>
      <w:proofErr w:type="spellStart"/>
      <w:r w:rsidR="00323669">
        <w:rPr>
          <w:rFonts w:cs="Arial"/>
        </w:rPr>
        <w:t>тыс.руб</w:t>
      </w:r>
      <w:proofErr w:type="spellEnd"/>
      <w:r w:rsidR="00323669">
        <w:rPr>
          <w:rFonts w:cs="Arial"/>
        </w:rPr>
        <w:t xml:space="preserve">., </w:t>
      </w:r>
      <w:r>
        <w:rPr>
          <w:rFonts w:cs="Arial"/>
        </w:rPr>
        <w:t xml:space="preserve"> и</w:t>
      </w:r>
      <w:r w:rsidR="00323669">
        <w:rPr>
          <w:rFonts w:cs="Arial"/>
        </w:rPr>
        <w:t>з которых 3</w:t>
      </w:r>
      <w:r>
        <w:rPr>
          <w:rFonts w:cs="Arial"/>
        </w:rPr>
        <w:t>2,2% или 23 840,3</w:t>
      </w:r>
      <w:r w:rsidR="001A516A">
        <w:rPr>
          <w:rFonts w:cs="Arial"/>
        </w:rPr>
        <w:t xml:space="preserve"> </w:t>
      </w:r>
      <w:proofErr w:type="spellStart"/>
      <w:r w:rsidR="001A516A">
        <w:rPr>
          <w:rFonts w:cs="Arial"/>
        </w:rPr>
        <w:t>тыс</w:t>
      </w:r>
      <w:r>
        <w:rPr>
          <w:rFonts w:cs="Arial"/>
        </w:rPr>
        <w:t>.</w:t>
      </w:r>
      <w:r w:rsidR="001A516A">
        <w:rPr>
          <w:rFonts w:cs="Arial"/>
        </w:rPr>
        <w:t>руб</w:t>
      </w:r>
      <w:proofErr w:type="spellEnd"/>
      <w:r>
        <w:rPr>
          <w:rFonts w:cs="Arial"/>
        </w:rPr>
        <w:t>.</w:t>
      </w:r>
      <w:r w:rsidR="001A516A">
        <w:rPr>
          <w:rFonts w:cs="Arial"/>
        </w:rPr>
        <w:t xml:space="preserve">  направлено на содержание муницип</w:t>
      </w:r>
      <w:r w:rsidR="00323669">
        <w:rPr>
          <w:rFonts w:cs="Arial"/>
        </w:rPr>
        <w:t>альных дорог, 67,8% или 50 157,3</w:t>
      </w:r>
      <w:r w:rsidR="001A516A">
        <w:rPr>
          <w:rFonts w:cs="Arial"/>
        </w:rPr>
        <w:t xml:space="preserve"> </w:t>
      </w:r>
      <w:proofErr w:type="spellStart"/>
      <w:r w:rsidR="001A516A">
        <w:rPr>
          <w:rFonts w:cs="Arial"/>
        </w:rPr>
        <w:t>тыс</w:t>
      </w:r>
      <w:r>
        <w:rPr>
          <w:rFonts w:cs="Arial"/>
        </w:rPr>
        <w:t>.</w:t>
      </w:r>
      <w:r w:rsidR="001A516A">
        <w:rPr>
          <w:rFonts w:cs="Arial"/>
        </w:rPr>
        <w:t>руб</w:t>
      </w:r>
      <w:proofErr w:type="spellEnd"/>
      <w:r>
        <w:rPr>
          <w:rFonts w:cs="Arial"/>
        </w:rPr>
        <w:t>.</w:t>
      </w:r>
      <w:r w:rsidR="001A516A">
        <w:rPr>
          <w:rFonts w:cs="Arial"/>
        </w:rPr>
        <w:t xml:space="preserve"> на строительство, капитальный ремонт автомобильных дорог и капитальный ремонт, ремонт дворовых территорий многоквартирных домов, проездов к дворовым территориям многоквартирных домов. </w:t>
      </w:r>
      <w:r w:rsidR="00323669">
        <w:rPr>
          <w:rFonts w:cs="Arial"/>
        </w:rPr>
        <w:t>О</w:t>
      </w:r>
      <w:r w:rsidR="001A516A">
        <w:rPr>
          <w:rFonts w:cs="Arial"/>
        </w:rPr>
        <w:t xml:space="preserve">статок бюджетных ассигнований дорожного </w:t>
      </w:r>
      <w:r>
        <w:rPr>
          <w:rFonts w:cs="Arial"/>
        </w:rPr>
        <w:t>фонда по состоянию на 01.01.2020г. составил 321,1</w:t>
      </w:r>
      <w:r w:rsidR="001A516A">
        <w:rPr>
          <w:rFonts w:cs="Arial"/>
        </w:rPr>
        <w:t xml:space="preserve"> </w:t>
      </w:r>
      <w:proofErr w:type="spellStart"/>
      <w:r w:rsidR="001A516A">
        <w:rPr>
          <w:rFonts w:cs="Arial"/>
        </w:rPr>
        <w:t>тыс</w:t>
      </w:r>
      <w:proofErr w:type="gramStart"/>
      <w:r>
        <w:rPr>
          <w:rFonts w:cs="Arial"/>
        </w:rPr>
        <w:t>.</w:t>
      </w:r>
      <w:r w:rsidR="001A516A">
        <w:rPr>
          <w:rFonts w:cs="Arial"/>
        </w:rPr>
        <w:t>р</w:t>
      </w:r>
      <w:proofErr w:type="gramEnd"/>
      <w:r w:rsidR="001A516A">
        <w:rPr>
          <w:rFonts w:cs="Arial"/>
        </w:rPr>
        <w:t>уб</w:t>
      </w:r>
      <w:proofErr w:type="spellEnd"/>
      <w:r w:rsidR="001A516A">
        <w:rPr>
          <w:rFonts w:cs="Arial"/>
        </w:rPr>
        <w:t>.</w:t>
      </w:r>
    </w:p>
    <w:p w:rsidR="00470761" w:rsidRDefault="00470761" w:rsidP="00897AC8">
      <w:pPr>
        <w:autoSpaceDE w:val="0"/>
        <w:autoSpaceDN w:val="0"/>
        <w:adjustRightInd w:val="0"/>
        <w:jc w:val="both"/>
      </w:pPr>
    </w:p>
    <w:p w:rsidR="00A01893" w:rsidRDefault="00897AC8" w:rsidP="00E6645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</w:t>
      </w:r>
      <w:r w:rsidR="00AA2E87" w:rsidRPr="00961E95">
        <w:rPr>
          <w:b/>
        </w:rPr>
        <w:t xml:space="preserve"> Выводы и рекомендации</w:t>
      </w:r>
    </w:p>
    <w:p w:rsidR="00470761" w:rsidRDefault="00470761" w:rsidP="0042725D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A01893" w:rsidRDefault="00470761" w:rsidP="00470761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r w:rsidR="00A01893">
        <w:t>Проект</w:t>
      </w:r>
      <w:r w:rsidR="00A01893" w:rsidRPr="008B52B9">
        <w:t xml:space="preserve"> решения Думы городского округа «Об утверждении годового отчета об исполнении бюджета муниципального обр</w:t>
      </w:r>
      <w:r w:rsidR="00A01893">
        <w:t>азования – «город Тулун» за 2019</w:t>
      </w:r>
      <w:r w:rsidR="00A01893" w:rsidRPr="008B52B9">
        <w:t xml:space="preserve"> год» </w:t>
      </w:r>
      <w:r w:rsidR="00A01893">
        <w:t>вынесен на рассмотрение Думой городского округа в соответствии с Бюджетным кодексом Российской Федерации.</w:t>
      </w:r>
    </w:p>
    <w:p w:rsidR="008B52B9" w:rsidRPr="00DC615D" w:rsidRDefault="00A01893" w:rsidP="00DC615D">
      <w:pPr>
        <w:autoSpaceDE w:val="0"/>
        <w:autoSpaceDN w:val="0"/>
        <w:adjustRightInd w:val="0"/>
        <w:ind w:firstLine="708"/>
        <w:jc w:val="both"/>
      </w:pPr>
      <w:r>
        <w:t>Перечень показателей и отчетов, предлагаемый к утверждению Проектом</w:t>
      </w:r>
      <w:r w:rsidRPr="008B52B9">
        <w:t xml:space="preserve"> решения Думы городского округа «Об утверждении годового отчета об исполнении бюджета муниципального обр</w:t>
      </w:r>
      <w:r>
        <w:t>азования – «город Тулун» за 2019</w:t>
      </w:r>
      <w:r w:rsidRPr="008B52B9">
        <w:t xml:space="preserve"> год»</w:t>
      </w:r>
      <w:r>
        <w:t xml:space="preserve">, соответствует требованиям, установленным </w:t>
      </w:r>
      <w:r w:rsidRPr="00A01893">
        <w:t>статьей 264.6 Бюджетного кодекса РФ, Положением о бюджетном процессе в муниципальном образовании – «город Тулун»</w:t>
      </w:r>
      <w:r>
        <w:t>.</w:t>
      </w:r>
    </w:p>
    <w:p w:rsidR="00995A60" w:rsidRPr="00995A60" w:rsidRDefault="00995A60" w:rsidP="00336684">
      <w:pPr>
        <w:autoSpaceDE w:val="0"/>
        <w:autoSpaceDN w:val="0"/>
        <w:adjustRightInd w:val="0"/>
        <w:ind w:firstLine="708"/>
        <w:jc w:val="both"/>
      </w:pPr>
      <w:r>
        <w:t>Основные характе</w:t>
      </w:r>
      <w:r w:rsidR="00BF5B0D">
        <w:t>ристики местного бюджета на 2019</w:t>
      </w:r>
      <w:r>
        <w:t xml:space="preserve"> год</w:t>
      </w:r>
      <w:r w:rsidR="00BF5B0D">
        <w:t xml:space="preserve"> уточнялись</w:t>
      </w:r>
      <w:r w:rsidR="0018710F">
        <w:t xml:space="preserve"> в течение года 5 раз</w:t>
      </w:r>
      <w:r>
        <w:t>. При этом</w:t>
      </w:r>
      <w:proofErr w:type="gramStart"/>
      <w:r>
        <w:t>,</w:t>
      </w:r>
      <w:proofErr w:type="gramEnd"/>
      <w:r>
        <w:t xml:space="preserve"> объемы доходов и объем расходов местного бюджета по сравнению с первоначально установленными показателями увеличились. Неоднократные корректировки основных характеристик местного бюджета были в значительной степени обусловлены дополнительными поступлениями </w:t>
      </w:r>
      <w:r w:rsidR="00336684">
        <w:t>межбюджетных трансфертов  из други</w:t>
      </w:r>
      <w:r w:rsidR="00BF5B0D">
        <w:t>х бюджетов бюджетной системы РФ в</w:t>
      </w:r>
      <w:r w:rsidR="0018710F">
        <w:t xml:space="preserve"> </w:t>
      </w:r>
      <w:r w:rsidR="00BF5B0D">
        <w:t>целях ликвидации последствий чрезвычайной ситуации.</w:t>
      </w:r>
    </w:p>
    <w:p w:rsidR="00995A60" w:rsidRDefault="00BF5B0D" w:rsidP="00336684">
      <w:pPr>
        <w:autoSpaceDE w:val="0"/>
        <w:autoSpaceDN w:val="0"/>
        <w:adjustRightInd w:val="0"/>
        <w:ind w:firstLine="708"/>
        <w:jc w:val="both"/>
      </w:pPr>
      <w:r>
        <w:t>В 2019</w:t>
      </w:r>
      <w:r w:rsidR="0026359E">
        <w:t xml:space="preserve"> году</w:t>
      </w:r>
      <w:r w:rsidR="0018710F">
        <w:t xml:space="preserve"> </w:t>
      </w:r>
      <w:r w:rsidR="008A106C">
        <w:t xml:space="preserve">доходы местного бюджета зависимы </w:t>
      </w:r>
      <w:r w:rsidR="008A106C" w:rsidRPr="008A106C">
        <w:t>от целевых поступлений из других бюджетов бюджетной системы РФ</w:t>
      </w:r>
      <w:r w:rsidR="008A106C">
        <w:t>.</w:t>
      </w:r>
    </w:p>
    <w:p w:rsidR="008A106C" w:rsidRDefault="009F1ABD" w:rsidP="00336684">
      <w:pPr>
        <w:autoSpaceDE w:val="0"/>
        <w:autoSpaceDN w:val="0"/>
        <w:adjustRightInd w:val="0"/>
        <w:ind w:firstLine="708"/>
        <w:jc w:val="both"/>
      </w:pPr>
      <w:proofErr w:type="gramStart"/>
      <w:r w:rsidRPr="0018710F">
        <w:t>Основные</w:t>
      </w:r>
      <w:r w:rsidR="00897AC8">
        <w:t xml:space="preserve"> параметры и</w:t>
      </w:r>
      <w:r w:rsidRPr="0018710F">
        <w:t xml:space="preserve"> характеристики </w:t>
      </w:r>
      <w:r w:rsidR="00897AC8">
        <w:t>бюджета в Проекте решения</w:t>
      </w:r>
      <w:r w:rsidRPr="0018710F">
        <w:t xml:space="preserve"> </w:t>
      </w:r>
      <w:r w:rsidR="00897AC8" w:rsidRPr="008B52B9">
        <w:t>Думы городского округа «Об утверждении годового отчета об исполнении бюджета муниципального обр</w:t>
      </w:r>
      <w:r w:rsidR="00897AC8">
        <w:t>азования – «город Тулун» за 2019</w:t>
      </w:r>
      <w:r w:rsidR="00897AC8" w:rsidRPr="008B52B9">
        <w:t xml:space="preserve"> год» </w:t>
      </w:r>
      <w:r w:rsidRPr="0018710F">
        <w:t>соответствуют  данным годового отчета об исп</w:t>
      </w:r>
      <w:r w:rsidR="00BF5B0D" w:rsidRPr="0018710F">
        <w:t>олнении местного бюджета за 2019</w:t>
      </w:r>
      <w:r w:rsidRPr="0018710F">
        <w:t xml:space="preserve"> год и итоговым суммам фактических поступлений доходов в местный бюджет муниципального образования – «город Тулун» и выбывших средств из местного бюджета.</w:t>
      </w:r>
      <w:proofErr w:type="gramEnd"/>
      <w:r w:rsidRPr="0018710F">
        <w:t xml:space="preserve"> Бюджет му</w:t>
      </w:r>
      <w:r w:rsidR="00BF5B0D" w:rsidRPr="0018710F">
        <w:t>ниципального образования за 2019</w:t>
      </w:r>
      <w:r w:rsidRPr="0018710F">
        <w:t xml:space="preserve"> год исполне</w:t>
      </w:r>
      <w:r w:rsidR="0018710F">
        <w:t>н по доходам в сумме 2 449 859,5</w:t>
      </w:r>
      <w:r w:rsidRPr="0018710F">
        <w:t xml:space="preserve"> </w:t>
      </w:r>
      <w:proofErr w:type="spellStart"/>
      <w:r w:rsidRPr="0018710F">
        <w:t>тыс</w:t>
      </w:r>
      <w:proofErr w:type="gramStart"/>
      <w:r w:rsidR="003A2073">
        <w:t>.</w:t>
      </w:r>
      <w:r w:rsidRPr="0018710F">
        <w:t>р</w:t>
      </w:r>
      <w:proofErr w:type="gramEnd"/>
      <w:r w:rsidRPr="0018710F">
        <w:t>уб</w:t>
      </w:r>
      <w:proofErr w:type="spellEnd"/>
      <w:r w:rsidR="003A2073">
        <w:t>., по расходам</w:t>
      </w:r>
      <w:r w:rsidR="00DC3139">
        <w:t xml:space="preserve"> -</w:t>
      </w:r>
      <w:r w:rsidR="003A2073">
        <w:t xml:space="preserve"> 2 352 258,4 </w:t>
      </w:r>
      <w:proofErr w:type="spellStart"/>
      <w:r w:rsidR="003A2073">
        <w:t>тыс.</w:t>
      </w:r>
      <w:r w:rsidRPr="0018710F">
        <w:t>руб</w:t>
      </w:r>
      <w:proofErr w:type="spellEnd"/>
      <w:r w:rsidR="003A2073">
        <w:t>.</w:t>
      </w:r>
      <w:r w:rsidRPr="0018710F">
        <w:t>, с превышением доходов над расходам</w:t>
      </w:r>
      <w:r w:rsidR="003A2073">
        <w:t xml:space="preserve">и (профицит) в сумме 97 601,1 </w:t>
      </w:r>
      <w:proofErr w:type="spellStart"/>
      <w:r w:rsidR="003A2073">
        <w:t>тыс.</w:t>
      </w:r>
      <w:r w:rsidRPr="0018710F">
        <w:t>руб</w:t>
      </w:r>
      <w:proofErr w:type="spellEnd"/>
      <w:r w:rsidR="0040594F" w:rsidRPr="0018710F">
        <w:t>.</w:t>
      </w:r>
    </w:p>
    <w:p w:rsidR="00897AC8" w:rsidRDefault="0042725D" w:rsidP="0042725D">
      <w:pPr>
        <w:jc w:val="both"/>
      </w:pPr>
      <w:r>
        <w:lastRenderedPageBreak/>
        <w:t xml:space="preserve">           Годовой</w:t>
      </w:r>
      <w:r w:rsidRPr="00643FC3">
        <w:t xml:space="preserve"> от</w:t>
      </w:r>
      <w:r>
        <w:t xml:space="preserve">чет об исполнении бюджета муниципального образования – «город Тулун» за 2019 год в целом по своему составу, содержанию соответствует требованиям Инструкции </w:t>
      </w:r>
      <w:r w:rsidRPr="00B84902">
        <w:rPr>
          <w:bCs/>
          <w:color w:val="000000"/>
          <w:shd w:val="clear" w:color="auto" w:fill="FFFFFF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bCs/>
          <w:color w:val="000000"/>
          <w:shd w:val="clear" w:color="auto" w:fill="FFFFFF"/>
        </w:rPr>
        <w:t>,</w:t>
      </w:r>
      <w:r w:rsidRPr="00B878E2">
        <w:t xml:space="preserve"> </w:t>
      </w:r>
      <w:r>
        <w:t xml:space="preserve">утвержденной приказом </w:t>
      </w:r>
      <w:r w:rsidRPr="00643FC3">
        <w:rPr>
          <w:bCs/>
          <w:color w:val="22272F"/>
          <w:shd w:val="clear" w:color="auto" w:fill="FFFFFF"/>
        </w:rPr>
        <w:t>Мин</w:t>
      </w:r>
      <w:r>
        <w:rPr>
          <w:bCs/>
          <w:color w:val="22272F"/>
          <w:shd w:val="clear" w:color="auto" w:fill="FFFFFF"/>
        </w:rPr>
        <w:t>фина РФ от 28 декабря 2010г. </w:t>
      </w:r>
      <w:r>
        <w:rPr>
          <w:bCs/>
          <w:color w:val="000000"/>
          <w:shd w:val="clear" w:color="auto" w:fill="FFFFFF"/>
        </w:rPr>
        <w:t>№ 191н</w:t>
      </w:r>
      <w:r>
        <w:t>.  Годовая бюджетная отчетность   главных администраторов бюджетных сре</w:t>
      </w:r>
      <w:proofErr w:type="gramStart"/>
      <w:r>
        <w:t>дств пр</w:t>
      </w:r>
      <w:proofErr w:type="gramEnd"/>
      <w:r>
        <w:t xml:space="preserve">едставлена в полном объеме форм, </w:t>
      </w:r>
      <w:r w:rsidRPr="002B14EA">
        <w:t xml:space="preserve">предусмотренных </w:t>
      </w:r>
      <w:r>
        <w:t xml:space="preserve">Инструкцией № 191н. Фактов неправомерного отсутствия предусмотренных Инструкцией № 191н форм годовой отчетности не установлено. В годовой бюджетной отчетности за 2019 год соблюдены </w:t>
      </w:r>
      <w:r>
        <w:rPr>
          <w:color w:val="000000"/>
          <w:shd w:val="clear" w:color="auto" w:fill="FFFFFF"/>
        </w:rPr>
        <w:t xml:space="preserve">контрольные соотношения, установленные Инструкцией № 191н, обеспечено соответствие взаимосвязанных показателей с бюджетной отчетностью федеральных и областных  органов исполнительной власти, государственных внебюджетных фондов, территориальных органов федерального казначейства. </w:t>
      </w:r>
      <w:r>
        <w:t xml:space="preserve">Показатели годовой бюджетной </w:t>
      </w:r>
      <w:r w:rsidRPr="00643FC3">
        <w:t>от</w:t>
      </w:r>
      <w:r>
        <w:t>четности несут прозрачность и информативность обо всех составляющих исполнения бюджета муниципального образования – «город Тулун».</w:t>
      </w:r>
    </w:p>
    <w:p w:rsidR="00FF0973" w:rsidRDefault="00FF0973" w:rsidP="00336684">
      <w:pPr>
        <w:autoSpaceDE w:val="0"/>
        <w:autoSpaceDN w:val="0"/>
        <w:adjustRightInd w:val="0"/>
        <w:ind w:firstLine="708"/>
        <w:jc w:val="both"/>
      </w:pPr>
      <w:r w:rsidRPr="00FF0973">
        <w:t>Нарушений предельного объема дефицита местного бюджета, определенного п.3 ст.92.1 Бюджетного</w:t>
      </w:r>
      <w:r>
        <w:t xml:space="preserve"> Кодекса РФ</w:t>
      </w:r>
      <w:r w:rsidRPr="00FF0973">
        <w:t xml:space="preserve"> не установлено.</w:t>
      </w:r>
    </w:p>
    <w:p w:rsidR="00B03DB0" w:rsidRDefault="00B03DB0" w:rsidP="0042725D">
      <w:pPr>
        <w:ind w:firstLine="708"/>
        <w:jc w:val="both"/>
      </w:pPr>
      <w:r w:rsidRPr="00B03DB0">
        <w:t>Резервный фонд муниципального образования – «город Тулун»  не превышает предельного значения установленного п.3 ст.81 Бюджетного Кодекса РФ.</w:t>
      </w:r>
    </w:p>
    <w:p w:rsidR="00556CB8" w:rsidRDefault="00E479DF" w:rsidP="00E479DF">
      <w:pPr>
        <w:autoSpaceDE w:val="0"/>
        <w:autoSpaceDN w:val="0"/>
        <w:adjustRightInd w:val="0"/>
        <w:ind w:firstLine="708"/>
        <w:jc w:val="both"/>
      </w:pPr>
      <w:r w:rsidRPr="00B6071D">
        <w:rPr>
          <w:rFonts w:cs="Arial"/>
        </w:rPr>
        <w:t xml:space="preserve">По состоянию на 01 января 2020 года муниципальный долг </w:t>
      </w:r>
      <w:r w:rsidRPr="00B6071D">
        <w:t>муниципального образования – «город Тулун» отсутствует</w:t>
      </w:r>
      <w:r>
        <w:t xml:space="preserve">. </w:t>
      </w:r>
    </w:p>
    <w:p w:rsidR="00B03DB0" w:rsidRDefault="00E479DF" w:rsidP="00336684">
      <w:pPr>
        <w:autoSpaceDE w:val="0"/>
        <w:autoSpaceDN w:val="0"/>
        <w:adjustRightInd w:val="0"/>
        <w:ind w:firstLine="708"/>
        <w:jc w:val="both"/>
      </w:pPr>
      <w:r>
        <w:t xml:space="preserve">Бюджетные кредиты </w:t>
      </w:r>
      <w:r w:rsidR="0026359E">
        <w:t>и кре</w:t>
      </w:r>
      <w:r>
        <w:t>диты кредитных организаций</w:t>
      </w:r>
      <w:r w:rsidR="00B03DB0" w:rsidRPr="00B03DB0">
        <w:t xml:space="preserve"> муниципальному образованию – «город Тулун» </w:t>
      </w:r>
      <w:r w:rsidR="0026359E">
        <w:t>в 2019</w:t>
      </w:r>
      <w:r w:rsidR="0026359E" w:rsidRPr="00B03DB0">
        <w:t xml:space="preserve"> году </w:t>
      </w:r>
      <w:r w:rsidR="00B03DB0" w:rsidRPr="00B03DB0">
        <w:t>не предоставлялись.</w:t>
      </w:r>
    </w:p>
    <w:p w:rsidR="00B03DB0" w:rsidRDefault="00E479DF" w:rsidP="00336684">
      <w:pPr>
        <w:autoSpaceDE w:val="0"/>
        <w:autoSpaceDN w:val="0"/>
        <w:adjustRightInd w:val="0"/>
        <w:ind w:firstLine="708"/>
        <w:jc w:val="both"/>
      </w:pPr>
      <w:r>
        <w:t>Муниципальные гарантии в 2019</w:t>
      </w:r>
      <w:r w:rsidR="00B03DB0">
        <w:t xml:space="preserve"> году не предоставлялись.</w:t>
      </w:r>
    </w:p>
    <w:p w:rsidR="0004026D" w:rsidRDefault="001F0BB3" w:rsidP="001F0BB3">
      <w:pPr>
        <w:autoSpaceDE w:val="0"/>
        <w:autoSpaceDN w:val="0"/>
        <w:adjustRightInd w:val="0"/>
        <w:ind w:firstLine="708"/>
        <w:jc w:val="both"/>
      </w:pPr>
      <w:r>
        <w:t xml:space="preserve">В ходе внешней проверки годовой бюджетной отчетности ГРБС установлены случаи несоблюдения отдельных требований </w:t>
      </w:r>
      <w:r w:rsidRPr="00B46DE8">
        <w:t xml:space="preserve"> инструкции, утвержденной приказом Минфина РФ от 28 декабря 2010 г. № 191н </w:t>
      </w:r>
      <w:r>
        <w:t xml:space="preserve"> </w:t>
      </w:r>
      <w:r w:rsidRPr="00B46DE8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t>, нарушений бюджетного законодательства</w:t>
      </w:r>
      <w:r w:rsidR="0004026D">
        <w:t>.</w:t>
      </w:r>
    </w:p>
    <w:p w:rsidR="00037A55" w:rsidRPr="00037A55" w:rsidRDefault="00037A55" w:rsidP="001F0BB3">
      <w:pPr>
        <w:autoSpaceDE w:val="0"/>
        <w:autoSpaceDN w:val="0"/>
        <w:adjustRightInd w:val="0"/>
        <w:ind w:firstLine="708"/>
        <w:jc w:val="both"/>
      </w:pPr>
      <w:proofErr w:type="gramStart"/>
      <w:r>
        <w:t>В</w:t>
      </w:r>
      <w:r w:rsidRPr="00037A55">
        <w:t xml:space="preserve"> МУ «Дума городского округа муниципального образования - город Тулун»</w:t>
      </w:r>
      <w:r>
        <w:t xml:space="preserve"> в</w:t>
      </w:r>
      <w:r w:rsidRPr="00037A55">
        <w:t xml:space="preserve"> нарушение ст.11 Федерального закона от 06.12.2011г. № 402-ФЗ «О бухгалтерском учете», п. 1.1, 1.5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13.06.1995г. № 49 </w:t>
      </w:r>
      <w:r w:rsidRPr="00037A55">
        <w:rPr>
          <w:color w:val="000000"/>
          <w:shd w:val="clear" w:color="auto" w:fill="FFFFFF"/>
        </w:rPr>
        <w:t xml:space="preserve"> перед составлением годовой бюджетной отчетности не проведена инвентаризация имущества и </w:t>
      </w:r>
      <w:r w:rsidRPr="00037A55">
        <w:t>финансовых.</w:t>
      </w:r>
      <w:proofErr w:type="gramEnd"/>
    </w:p>
    <w:p w:rsidR="00275E9B" w:rsidRPr="006E66A6" w:rsidRDefault="00275E9B" w:rsidP="006D35C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>В МУ «Администрация города Тулуна» наблюдается р</w:t>
      </w:r>
      <w:r w:rsidRPr="0035480E">
        <w:rPr>
          <w:color w:val="000000"/>
          <w:shd w:val="clear" w:color="auto" w:fill="FFFFFF"/>
        </w:rPr>
        <w:t xml:space="preserve">ост дебиторской задолженности </w:t>
      </w:r>
      <w:r w:rsidR="006E66A6">
        <w:rPr>
          <w:color w:val="000000"/>
          <w:shd w:val="clear" w:color="auto" w:fill="FFFFFF"/>
        </w:rPr>
        <w:t xml:space="preserve">и </w:t>
      </w:r>
      <w:r w:rsidRPr="0035480E">
        <w:rPr>
          <w:color w:val="000000"/>
          <w:shd w:val="clear" w:color="auto" w:fill="FFFFFF"/>
        </w:rPr>
        <w:t xml:space="preserve">по сравнению </w:t>
      </w:r>
      <w:r w:rsidR="006E66A6">
        <w:rPr>
          <w:color w:val="000000"/>
          <w:shd w:val="clear" w:color="auto" w:fill="FFFFFF"/>
        </w:rPr>
        <w:t xml:space="preserve">с </w:t>
      </w:r>
      <w:r w:rsidRPr="0035480E">
        <w:rPr>
          <w:color w:val="000000"/>
          <w:shd w:val="clear" w:color="auto" w:fill="FFFFFF"/>
        </w:rPr>
        <w:t>показателем на начало года (</w:t>
      </w:r>
      <w:r w:rsidRPr="004B4E7E">
        <w:rPr>
          <w:color w:val="000000"/>
          <w:shd w:val="clear" w:color="auto" w:fill="FFFFFF"/>
        </w:rPr>
        <w:t>755445,4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35480E">
        <w:rPr>
          <w:color w:val="000000"/>
          <w:shd w:val="clear" w:color="auto" w:fill="FFFFFF"/>
        </w:rPr>
        <w:t>тыс</w:t>
      </w:r>
      <w:proofErr w:type="gramStart"/>
      <w:r w:rsidRPr="0035480E">
        <w:rPr>
          <w:color w:val="000000"/>
          <w:shd w:val="clear" w:color="auto" w:fill="FFFFFF"/>
        </w:rPr>
        <w:t>.р</w:t>
      </w:r>
      <w:proofErr w:type="gramEnd"/>
      <w:r w:rsidRPr="0035480E">
        <w:rPr>
          <w:color w:val="000000"/>
          <w:shd w:val="clear" w:color="auto" w:fill="FFFFFF"/>
        </w:rPr>
        <w:t>уб</w:t>
      </w:r>
      <w:proofErr w:type="spellEnd"/>
      <w:r w:rsidRPr="0035480E">
        <w:rPr>
          <w:color w:val="000000"/>
          <w:shd w:val="clear" w:color="auto" w:fill="FFFFFF"/>
        </w:rPr>
        <w:t xml:space="preserve">.) </w:t>
      </w:r>
      <w:r>
        <w:rPr>
          <w:color w:val="000000"/>
          <w:shd w:val="clear" w:color="auto" w:fill="FFFFFF"/>
        </w:rPr>
        <w:t>составил</w:t>
      </w:r>
      <w:r w:rsidR="006E66A6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1459573,5</w:t>
      </w:r>
      <w:r w:rsidR="0051147F">
        <w:rPr>
          <w:color w:val="000000"/>
          <w:shd w:val="clear" w:color="auto" w:fill="FFFFFF"/>
        </w:rPr>
        <w:t xml:space="preserve"> </w:t>
      </w:r>
      <w:proofErr w:type="spellStart"/>
      <w:r w:rsidR="0051147F">
        <w:rPr>
          <w:color w:val="000000"/>
          <w:shd w:val="clear" w:color="auto" w:fill="FFFFFF"/>
        </w:rPr>
        <w:t>тыс.руб</w:t>
      </w:r>
      <w:proofErr w:type="spellEnd"/>
      <w:r w:rsidR="0051147F">
        <w:rPr>
          <w:color w:val="000000"/>
          <w:shd w:val="clear" w:color="auto" w:fill="FFFFFF"/>
        </w:rPr>
        <w:t>.</w:t>
      </w:r>
      <w:r w:rsidR="006E66A6">
        <w:rPr>
          <w:color w:val="000000"/>
          <w:shd w:val="clear" w:color="auto" w:fill="FFFFFF"/>
        </w:rPr>
        <w:t xml:space="preserve"> </w:t>
      </w:r>
      <w:r w:rsidRPr="0035480E">
        <w:rPr>
          <w:color w:val="000000"/>
          <w:shd w:val="clear" w:color="auto" w:fill="FFFFFF"/>
        </w:rPr>
        <w:t xml:space="preserve">или </w:t>
      </w:r>
      <w:r w:rsidR="006E66A6">
        <w:rPr>
          <w:color w:val="000000"/>
          <w:shd w:val="clear" w:color="auto" w:fill="FFFFFF"/>
        </w:rPr>
        <w:t xml:space="preserve"> увеличилась </w:t>
      </w:r>
      <w:r>
        <w:rPr>
          <w:color w:val="000000"/>
          <w:shd w:val="clear" w:color="auto" w:fill="FFFFFF"/>
        </w:rPr>
        <w:t>в 1,9 раза.</w:t>
      </w:r>
      <w:r w:rsidRPr="00275E9B">
        <w:rPr>
          <w:color w:val="000000"/>
          <w:shd w:val="clear" w:color="auto" w:fill="FFFFFF"/>
        </w:rPr>
        <w:t xml:space="preserve"> </w:t>
      </w:r>
      <w:r w:rsidRPr="0035480E">
        <w:rPr>
          <w:color w:val="000000"/>
          <w:shd w:val="clear" w:color="auto" w:fill="FFFFFF"/>
        </w:rPr>
        <w:t xml:space="preserve">Большую часть дебиторской задолженности составляет дебиторская задолженность по доходам </w:t>
      </w:r>
      <w:r>
        <w:rPr>
          <w:color w:val="000000"/>
          <w:shd w:val="clear" w:color="auto" w:fill="FFFFFF"/>
        </w:rPr>
        <w:t xml:space="preserve">(по </w:t>
      </w:r>
      <w:r w:rsidRPr="00CE1561">
        <w:rPr>
          <w:color w:val="000000"/>
          <w:shd w:val="clear" w:color="auto" w:fill="FFFFFF"/>
        </w:rPr>
        <w:t>арендной плате за земли</w:t>
      </w:r>
      <w:r>
        <w:rPr>
          <w:color w:val="000000"/>
          <w:shd w:val="clear" w:color="auto" w:fill="FFFFFF"/>
        </w:rPr>
        <w:t>,</w:t>
      </w:r>
      <w:r w:rsidRPr="00275E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 </w:t>
      </w:r>
      <w:r w:rsidRPr="00CE1561">
        <w:rPr>
          <w:color w:val="000000"/>
          <w:shd w:val="clear" w:color="auto" w:fill="FFFFFF"/>
        </w:rPr>
        <w:t>арендной плате за имущество</w:t>
      </w:r>
      <w:r>
        <w:rPr>
          <w:color w:val="000000"/>
          <w:shd w:val="clear" w:color="auto" w:fill="FFFFFF"/>
        </w:rPr>
        <w:t>,</w:t>
      </w:r>
      <w:r w:rsidRPr="00275E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 </w:t>
      </w:r>
      <w:r w:rsidRPr="00CE1561">
        <w:rPr>
          <w:color w:val="000000"/>
          <w:shd w:val="clear" w:color="auto" w:fill="FFFFFF"/>
        </w:rPr>
        <w:t>платежам за наем жилья по договорам социального найма</w:t>
      </w:r>
      <w:r w:rsidR="006D35CF">
        <w:rPr>
          <w:color w:val="000000"/>
          <w:shd w:val="clear" w:color="auto" w:fill="FFFFFF"/>
        </w:rPr>
        <w:t xml:space="preserve"> и др.). К</w:t>
      </w:r>
      <w:r w:rsidRPr="006E66A6">
        <w:rPr>
          <w:color w:val="000000"/>
          <w:shd w:val="clear" w:color="auto" w:fill="FFFFFF"/>
        </w:rPr>
        <w:t>редиторская задолженность</w:t>
      </w:r>
      <w:r w:rsidRPr="0035480E">
        <w:rPr>
          <w:color w:val="000000"/>
          <w:shd w:val="clear" w:color="auto" w:fill="FFFFFF"/>
        </w:rPr>
        <w:t xml:space="preserve"> на конец отчетного периода составила </w:t>
      </w:r>
      <w:r>
        <w:rPr>
          <w:color w:val="000000"/>
          <w:shd w:val="clear" w:color="auto" w:fill="FFFFFF"/>
        </w:rPr>
        <w:t>106</w:t>
      </w:r>
      <w:r w:rsidR="006E66A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251,5</w:t>
      </w:r>
      <w:r w:rsidRPr="0035480E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тыс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>ублей</w:t>
      </w:r>
      <w:proofErr w:type="spellEnd"/>
      <w:r>
        <w:rPr>
          <w:color w:val="000000"/>
          <w:shd w:val="clear" w:color="auto" w:fill="FFFFFF"/>
        </w:rPr>
        <w:t xml:space="preserve">. </w:t>
      </w:r>
      <w:r w:rsidRPr="00AB6CF4">
        <w:rPr>
          <w:color w:val="000000"/>
          <w:shd w:val="clear" w:color="auto" w:fill="FFFFFF"/>
        </w:rPr>
        <w:t>Наблюдается  увеличение кредиторской задолженности на конец отчетного года по сравнению с кредиторской задолженностью на начало года (1</w:t>
      </w:r>
      <w:r w:rsidR="006E66A6">
        <w:rPr>
          <w:color w:val="000000"/>
          <w:shd w:val="clear" w:color="auto" w:fill="FFFFFF"/>
        </w:rPr>
        <w:t xml:space="preserve"> </w:t>
      </w:r>
      <w:r w:rsidRPr="00AB6CF4">
        <w:rPr>
          <w:color w:val="000000"/>
          <w:shd w:val="clear" w:color="auto" w:fill="FFFFFF"/>
        </w:rPr>
        <w:t xml:space="preserve">943,3 </w:t>
      </w:r>
      <w:proofErr w:type="spellStart"/>
      <w:r w:rsidRPr="00AB6CF4">
        <w:rPr>
          <w:color w:val="000000"/>
          <w:shd w:val="clear" w:color="auto" w:fill="FFFFFF"/>
        </w:rPr>
        <w:t>тыс</w:t>
      </w:r>
      <w:proofErr w:type="gramStart"/>
      <w:r w:rsidRPr="00AB6CF4">
        <w:rPr>
          <w:color w:val="000000"/>
          <w:shd w:val="clear" w:color="auto" w:fill="FFFFFF"/>
        </w:rPr>
        <w:t>.р</w:t>
      </w:r>
      <w:proofErr w:type="gramEnd"/>
      <w:r w:rsidRPr="00AB6CF4">
        <w:rPr>
          <w:color w:val="000000"/>
          <w:shd w:val="clear" w:color="auto" w:fill="FFFFFF"/>
        </w:rPr>
        <w:t>уб</w:t>
      </w:r>
      <w:proofErr w:type="spellEnd"/>
      <w:r w:rsidRPr="00AB6CF4">
        <w:rPr>
          <w:color w:val="000000"/>
          <w:shd w:val="clear" w:color="auto" w:fill="FFFFFF"/>
        </w:rPr>
        <w:t>.)</w:t>
      </w:r>
      <w:r w:rsidR="006E66A6">
        <w:rPr>
          <w:color w:val="000000"/>
          <w:shd w:val="clear" w:color="auto" w:fill="FFFFFF"/>
        </w:rPr>
        <w:t>, увеличилась</w:t>
      </w:r>
      <w:r w:rsidRPr="00AB6CF4">
        <w:rPr>
          <w:color w:val="000000"/>
          <w:shd w:val="clear" w:color="auto" w:fill="FFFFFF"/>
        </w:rPr>
        <w:t xml:space="preserve"> на 104308,2 </w:t>
      </w:r>
      <w:proofErr w:type="spellStart"/>
      <w:r w:rsidRPr="00AB6CF4">
        <w:rPr>
          <w:color w:val="000000"/>
          <w:shd w:val="clear" w:color="auto" w:fill="FFFFFF"/>
        </w:rPr>
        <w:t>тыс.руб</w:t>
      </w:r>
      <w:proofErr w:type="spellEnd"/>
      <w:r w:rsidRPr="00AB6CF4">
        <w:rPr>
          <w:color w:val="000000"/>
          <w:shd w:val="clear" w:color="auto" w:fill="FFFFFF"/>
        </w:rPr>
        <w:t>. или в 53,7 раз.</w:t>
      </w:r>
      <w:r w:rsidRPr="000A3F5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9D723C">
        <w:rPr>
          <w:color w:val="000000"/>
          <w:shd w:val="clear" w:color="auto" w:fill="FFFFFF"/>
        </w:rPr>
        <w:t>росроченная</w:t>
      </w:r>
      <w:r>
        <w:rPr>
          <w:color w:val="000000"/>
          <w:shd w:val="clear" w:color="auto" w:fill="FFFFFF"/>
        </w:rPr>
        <w:t xml:space="preserve"> кредиторская задолженность на конец 2019 года составила</w:t>
      </w:r>
      <w:r w:rsidRPr="009D723C">
        <w:rPr>
          <w:color w:val="000000"/>
          <w:shd w:val="clear" w:color="auto" w:fill="FFFFFF"/>
        </w:rPr>
        <w:t xml:space="preserve"> 4825,7 </w:t>
      </w:r>
      <w:proofErr w:type="spellStart"/>
      <w:r w:rsidRPr="009D723C">
        <w:rPr>
          <w:color w:val="000000"/>
          <w:shd w:val="clear" w:color="auto" w:fill="FFFFFF"/>
        </w:rPr>
        <w:t>тыс</w:t>
      </w:r>
      <w:proofErr w:type="gramStart"/>
      <w:r w:rsidRPr="009D723C">
        <w:rPr>
          <w:color w:val="000000"/>
          <w:shd w:val="clear" w:color="auto" w:fill="FFFFFF"/>
        </w:rPr>
        <w:t>.р</w:t>
      </w:r>
      <w:proofErr w:type="gramEnd"/>
      <w:r w:rsidRPr="009D723C">
        <w:rPr>
          <w:color w:val="000000"/>
          <w:shd w:val="clear" w:color="auto" w:fill="FFFFFF"/>
        </w:rPr>
        <w:t>уб</w:t>
      </w:r>
      <w:proofErr w:type="spellEnd"/>
      <w:r w:rsidRPr="009D723C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, на начало 2019 года пр</w:t>
      </w:r>
      <w:r w:rsidR="006E66A6">
        <w:rPr>
          <w:color w:val="000000"/>
          <w:shd w:val="clear" w:color="auto" w:fill="FFFFFF"/>
        </w:rPr>
        <w:t>осроченной задолженности отсутствовала</w:t>
      </w:r>
      <w:r>
        <w:rPr>
          <w:color w:val="000000"/>
          <w:shd w:val="clear" w:color="auto" w:fill="FFFFFF"/>
        </w:rPr>
        <w:t>.</w:t>
      </w:r>
      <w:r w:rsidR="006E66A6">
        <w:rPr>
          <w:color w:val="000000"/>
          <w:shd w:val="clear" w:color="auto" w:fill="FFFFFF"/>
        </w:rPr>
        <w:t xml:space="preserve"> Кредиторская задолженность образовалась за </w:t>
      </w:r>
      <w:r>
        <w:rPr>
          <w:color w:val="000000"/>
          <w:shd w:val="clear" w:color="auto" w:fill="FFFFFF"/>
        </w:rPr>
        <w:t>услуги связи,</w:t>
      </w:r>
      <w:r w:rsidR="006E66A6">
        <w:rPr>
          <w:color w:val="000000"/>
          <w:shd w:val="clear" w:color="auto" w:fill="FFFFFF"/>
        </w:rPr>
        <w:t xml:space="preserve"> коммунальные услуги, ГСМ,</w:t>
      </w:r>
      <w:r>
        <w:rPr>
          <w:color w:val="000000"/>
          <w:shd w:val="clear" w:color="auto" w:fill="FFFFFF"/>
        </w:rPr>
        <w:t xml:space="preserve"> по </w:t>
      </w:r>
      <w:r w:rsidR="006E66A6">
        <w:rPr>
          <w:color w:val="000000"/>
          <w:shd w:val="clear" w:color="auto" w:fill="FFFFFF"/>
        </w:rPr>
        <w:t>взносам в ФФОМС,</w:t>
      </w:r>
      <w:r>
        <w:rPr>
          <w:color w:val="000000"/>
          <w:shd w:val="clear" w:color="auto" w:fill="FFFFFF"/>
        </w:rPr>
        <w:t xml:space="preserve"> по налогу на доход</w:t>
      </w:r>
      <w:r w:rsidR="006E66A6">
        <w:rPr>
          <w:color w:val="000000"/>
          <w:shd w:val="clear" w:color="auto" w:fill="FFFFFF"/>
        </w:rPr>
        <w:t>ы физических лиц и др.</w:t>
      </w:r>
    </w:p>
    <w:p w:rsidR="00E63435" w:rsidRDefault="00E63435" w:rsidP="001F0BB3">
      <w:pPr>
        <w:autoSpaceDE w:val="0"/>
        <w:autoSpaceDN w:val="0"/>
        <w:adjustRightInd w:val="0"/>
        <w:ind w:firstLine="708"/>
        <w:jc w:val="both"/>
      </w:pPr>
    </w:p>
    <w:p w:rsidR="0026359E" w:rsidRPr="0051147F" w:rsidRDefault="00E63435" w:rsidP="00F01B21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51147F">
        <w:rPr>
          <w:b/>
          <w:i/>
        </w:rPr>
        <w:t xml:space="preserve"> Главными администраторами бюджетных сре</w:t>
      </w:r>
      <w:proofErr w:type="gramStart"/>
      <w:r w:rsidRPr="0051147F">
        <w:rPr>
          <w:b/>
          <w:i/>
        </w:rPr>
        <w:t>дств пр</w:t>
      </w:r>
      <w:proofErr w:type="gramEnd"/>
      <w:r w:rsidRPr="0051147F">
        <w:rPr>
          <w:b/>
          <w:i/>
        </w:rPr>
        <w:t>иняты меры к устранению выявленных в результате внешней проверки годовой бюджетной отчетности ГАБС за 2019 год, внесены соответствующие изменения в формы годовой бюджетной отчетности за 2019 год.</w:t>
      </w:r>
    </w:p>
    <w:p w:rsidR="001F0BB3" w:rsidRPr="0051147F" w:rsidRDefault="001F0BB3" w:rsidP="001F0BB3">
      <w:pPr>
        <w:jc w:val="both"/>
        <w:rPr>
          <w:b/>
          <w:i/>
        </w:rPr>
      </w:pPr>
      <w:r>
        <w:lastRenderedPageBreak/>
        <w:t xml:space="preserve">           </w:t>
      </w:r>
      <w:proofErr w:type="gramStart"/>
      <w:r w:rsidRPr="0051147F">
        <w:rPr>
          <w:b/>
          <w:i/>
        </w:rPr>
        <w:t xml:space="preserve">Замечания, отраженные в заключение № 5 от 29 января 2021 года по результатам внешней проверки годового  отчета об исполнении бюджета муниципального образования – «город Тулун» за 2019 год и рекомендуемые  Контрольно-счетной палатой </w:t>
      </w:r>
      <w:r w:rsidR="0004026D" w:rsidRPr="0051147F">
        <w:rPr>
          <w:b/>
          <w:i/>
        </w:rPr>
        <w:t xml:space="preserve">городского округа </w:t>
      </w:r>
      <w:r w:rsidRPr="0051147F">
        <w:rPr>
          <w:b/>
          <w:i/>
        </w:rPr>
        <w:t>к устранению,  администрацией городского округа</w:t>
      </w:r>
      <w:r w:rsidR="00E63435" w:rsidRPr="0051147F">
        <w:rPr>
          <w:b/>
          <w:i/>
        </w:rPr>
        <w:t xml:space="preserve"> устранены</w:t>
      </w:r>
      <w:r w:rsidRPr="0051147F">
        <w:rPr>
          <w:b/>
          <w:i/>
        </w:rPr>
        <w:t>.</w:t>
      </w:r>
      <w:proofErr w:type="gramEnd"/>
    </w:p>
    <w:p w:rsidR="0026359E" w:rsidRPr="0051147F" w:rsidRDefault="0026359E" w:rsidP="00336684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D355F5" w:rsidRDefault="00D355F5" w:rsidP="0077013F">
      <w:pPr>
        <w:autoSpaceDE w:val="0"/>
        <w:autoSpaceDN w:val="0"/>
        <w:adjustRightInd w:val="0"/>
        <w:ind w:firstLine="708"/>
        <w:jc w:val="both"/>
      </w:pPr>
    </w:p>
    <w:p w:rsidR="00D355F5" w:rsidRPr="00FD0E06" w:rsidRDefault="00D77AB0" w:rsidP="0077013F">
      <w:pPr>
        <w:autoSpaceDE w:val="0"/>
        <w:autoSpaceDN w:val="0"/>
        <w:adjustRightInd w:val="0"/>
        <w:ind w:firstLine="708"/>
        <w:jc w:val="both"/>
        <w:rPr>
          <w:b/>
        </w:rPr>
      </w:pPr>
      <w:r w:rsidRPr="00FD0E06">
        <w:rPr>
          <w:b/>
        </w:rPr>
        <w:t xml:space="preserve">На основании </w:t>
      </w:r>
      <w:r w:rsidR="000B12FE" w:rsidRPr="00FD0E06">
        <w:rPr>
          <w:b/>
        </w:rPr>
        <w:t>выше</w:t>
      </w:r>
      <w:r w:rsidRPr="00FD0E06">
        <w:rPr>
          <w:b/>
        </w:rPr>
        <w:t xml:space="preserve">изложенного Контрольно-счетная палата </w:t>
      </w:r>
      <w:r w:rsidR="00FD0E06">
        <w:rPr>
          <w:b/>
        </w:rPr>
        <w:t xml:space="preserve">городского округа </w:t>
      </w:r>
      <w:r w:rsidRPr="00FD0E06">
        <w:rPr>
          <w:b/>
        </w:rPr>
        <w:t>рекомендует:</w:t>
      </w:r>
    </w:p>
    <w:p w:rsidR="000B12FE" w:rsidRDefault="000B12FE" w:rsidP="0077013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D5562" w:rsidRDefault="003D5562" w:rsidP="00E6645B">
      <w:pPr>
        <w:autoSpaceDE w:val="0"/>
        <w:autoSpaceDN w:val="0"/>
        <w:adjustRightInd w:val="0"/>
        <w:ind w:firstLine="708"/>
        <w:jc w:val="both"/>
      </w:pPr>
      <w:r>
        <w:t>1. Администрации городского округа муниципального образования – «город Тулун» внести поп</w:t>
      </w:r>
      <w:r w:rsidR="00FF421C">
        <w:t>равки в приложения №2, №</w:t>
      </w:r>
      <w:r>
        <w:t>3</w:t>
      </w:r>
      <w:r w:rsidR="00FF421C">
        <w:t>, №4</w:t>
      </w:r>
      <w:r>
        <w:t xml:space="preserve"> к</w:t>
      </w:r>
      <w:r w:rsidRPr="003D5562">
        <w:t xml:space="preserve"> </w:t>
      </w:r>
      <w:r>
        <w:t>Проект</w:t>
      </w:r>
      <w:r w:rsidR="001315E4">
        <w:t>у</w:t>
      </w:r>
      <w:r>
        <w:t xml:space="preserve"> решения Думы городского округа «Об утверждении отчета об исполнении бюджета муниципального образования – «город Тулун» за 2019 год</w:t>
      </w:r>
      <w:r w:rsidR="00A11B58">
        <w:t>» в соответствие</w:t>
      </w:r>
      <w:r w:rsidR="00E6645B">
        <w:t xml:space="preserve"> с настоящим заключением.</w:t>
      </w:r>
    </w:p>
    <w:p w:rsidR="003D5562" w:rsidRDefault="003D5562" w:rsidP="00E6645B">
      <w:pPr>
        <w:autoSpaceDE w:val="0"/>
        <w:autoSpaceDN w:val="0"/>
        <w:adjustRightInd w:val="0"/>
        <w:ind w:firstLine="708"/>
        <w:jc w:val="both"/>
      </w:pPr>
      <w:r>
        <w:t>2</w:t>
      </w:r>
      <w:r w:rsidRPr="00D77AB0">
        <w:t xml:space="preserve">. </w:t>
      </w:r>
      <w:proofErr w:type="gramStart"/>
      <w:r>
        <w:t>Думе городского округа муниципального образования – «город Тулун» Проект решения Думы городского округа «Об утверждении отчета об исполнении бюджета муниципального образования – «город Тулун» за 2019 год» приня</w:t>
      </w:r>
      <w:r w:rsidR="00E6645B">
        <w:t>ть к рассмотрению и утв</w:t>
      </w:r>
      <w:r w:rsidR="00284159">
        <w:t xml:space="preserve">ерждению после внесения </w:t>
      </w:r>
      <w:r w:rsidR="00150030">
        <w:t xml:space="preserve">администрацией городского округа </w:t>
      </w:r>
      <w:r w:rsidR="00284159">
        <w:t>поправок в приложения №2, №</w:t>
      </w:r>
      <w:r w:rsidR="00E6645B">
        <w:t>3</w:t>
      </w:r>
      <w:r w:rsidR="00284159">
        <w:t>,</w:t>
      </w:r>
      <w:r w:rsidR="005275CE">
        <w:t xml:space="preserve"> </w:t>
      </w:r>
      <w:r w:rsidR="00284159">
        <w:t>№4</w:t>
      </w:r>
      <w:r w:rsidR="00E6645B">
        <w:t xml:space="preserve"> к</w:t>
      </w:r>
      <w:r w:rsidR="00E6645B" w:rsidRPr="003D5562">
        <w:t xml:space="preserve"> </w:t>
      </w:r>
      <w:r w:rsidR="00E6645B">
        <w:t>Проекту решения Думы городского округа «Об утверждении отчета об исполнении бюджета муниципального образования – «город Тулун» за 2019 год».</w:t>
      </w:r>
      <w:proofErr w:type="gramEnd"/>
    </w:p>
    <w:p w:rsidR="00063572" w:rsidRDefault="00E6645B" w:rsidP="000B12FE">
      <w:pPr>
        <w:autoSpaceDE w:val="0"/>
        <w:autoSpaceDN w:val="0"/>
        <w:adjustRightInd w:val="0"/>
        <w:ind w:firstLine="708"/>
        <w:jc w:val="both"/>
      </w:pPr>
      <w:r>
        <w:t>3</w:t>
      </w:r>
      <w:r w:rsidR="00D90295">
        <w:t>.</w:t>
      </w:r>
      <w:r w:rsidR="00D90295" w:rsidRPr="00D90295">
        <w:t xml:space="preserve"> </w:t>
      </w:r>
      <w:r w:rsidR="00D90295">
        <w:t xml:space="preserve"> </w:t>
      </w:r>
      <w:r w:rsidR="00D90295" w:rsidRPr="00D90295">
        <w:t>МУ «Дума горо</w:t>
      </w:r>
      <w:r w:rsidR="00D90295">
        <w:t xml:space="preserve">да Тулуна» </w:t>
      </w:r>
      <w:r w:rsidR="00063572">
        <w:t>п</w:t>
      </w:r>
      <w:r w:rsidR="00063572" w:rsidRPr="00E72D25">
        <w:t xml:space="preserve">ринять действенные меры </w:t>
      </w:r>
      <w:r w:rsidR="00063572">
        <w:t xml:space="preserve">к проведению </w:t>
      </w:r>
      <w:r w:rsidR="00063572">
        <w:rPr>
          <w:color w:val="000000"/>
          <w:shd w:val="clear" w:color="auto" w:fill="FFFFFF"/>
        </w:rPr>
        <w:t>инвентаризации</w:t>
      </w:r>
      <w:r w:rsidR="00063572" w:rsidRPr="00134084">
        <w:rPr>
          <w:color w:val="000000"/>
          <w:shd w:val="clear" w:color="auto" w:fill="FFFFFF"/>
        </w:rPr>
        <w:t xml:space="preserve"> имущества и </w:t>
      </w:r>
      <w:r w:rsidR="00063572" w:rsidRPr="00134084">
        <w:t>финансовых обязательств</w:t>
      </w:r>
      <w:r w:rsidR="00063572">
        <w:t xml:space="preserve"> </w:t>
      </w:r>
      <w:r w:rsidR="00063572" w:rsidRPr="00134084">
        <w:rPr>
          <w:color w:val="000000"/>
          <w:shd w:val="clear" w:color="auto" w:fill="FFFFFF"/>
        </w:rPr>
        <w:t>перед составлением годовой бюджетной отчетности</w:t>
      </w:r>
      <w:r w:rsidR="00063572">
        <w:rPr>
          <w:color w:val="000000"/>
          <w:shd w:val="clear" w:color="auto" w:fill="FFFFFF"/>
        </w:rPr>
        <w:t>.</w:t>
      </w:r>
    </w:p>
    <w:p w:rsidR="00D355F5" w:rsidRDefault="00E6645B" w:rsidP="0077013F">
      <w:pPr>
        <w:autoSpaceDE w:val="0"/>
        <w:autoSpaceDN w:val="0"/>
        <w:adjustRightInd w:val="0"/>
        <w:ind w:firstLine="708"/>
        <w:jc w:val="both"/>
      </w:pPr>
      <w:r>
        <w:t>4</w:t>
      </w:r>
      <w:r w:rsidR="00E72D25">
        <w:t xml:space="preserve">. </w:t>
      </w:r>
      <w:r w:rsidR="00E72D25" w:rsidRPr="00E72D25">
        <w:t>МУ «Администрация городского округа»</w:t>
      </w:r>
      <w:r w:rsidR="00B46DE8">
        <w:t xml:space="preserve"> п</w:t>
      </w:r>
      <w:r w:rsidR="00E72D25" w:rsidRPr="00E72D25">
        <w:t>ринять действенные меры по сокращению дебиторской задолженности</w:t>
      </w:r>
      <w:r w:rsidR="001F0BB3">
        <w:t xml:space="preserve"> и кредиторской задолженности</w:t>
      </w:r>
      <w:r w:rsidR="00E72D25">
        <w:t>.</w:t>
      </w: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40503B" w:rsidRDefault="0040503B" w:rsidP="001E78B9">
      <w:pPr>
        <w:autoSpaceDE w:val="0"/>
        <w:autoSpaceDN w:val="0"/>
        <w:adjustRightInd w:val="0"/>
        <w:jc w:val="both"/>
      </w:pPr>
    </w:p>
    <w:p w:rsidR="0040503B" w:rsidRPr="00961E95" w:rsidRDefault="0040503B" w:rsidP="001E78B9">
      <w:pPr>
        <w:autoSpaceDE w:val="0"/>
        <w:autoSpaceDN w:val="0"/>
        <w:adjustRightInd w:val="0"/>
        <w:jc w:val="both"/>
      </w:pPr>
    </w:p>
    <w:p w:rsidR="008606EB" w:rsidRPr="00961E95" w:rsidRDefault="0005715F" w:rsidP="007D5F83">
      <w:pPr>
        <w:autoSpaceDE w:val="0"/>
        <w:autoSpaceDN w:val="0"/>
        <w:adjustRightInd w:val="0"/>
        <w:jc w:val="both"/>
      </w:pPr>
      <w:r w:rsidRPr="00961E95">
        <w:t xml:space="preserve">Председатель </w:t>
      </w:r>
    </w:p>
    <w:p w:rsidR="00F00ABF" w:rsidRDefault="0005715F" w:rsidP="007D5F83">
      <w:pPr>
        <w:autoSpaceDE w:val="0"/>
        <w:autoSpaceDN w:val="0"/>
        <w:adjustRightInd w:val="0"/>
        <w:jc w:val="both"/>
      </w:pPr>
      <w:r w:rsidRPr="00961E95">
        <w:t>К</w:t>
      </w:r>
      <w:r w:rsidR="00BC2D0C" w:rsidRPr="00961E95">
        <w:t>онтрольно-счетной палаты</w:t>
      </w:r>
      <w:r w:rsidR="000F5AFC">
        <w:t xml:space="preserve"> </w:t>
      </w:r>
      <w:r w:rsidR="008606EB" w:rsidRPr="00961E95">
        <w:t>города</w:t>
      </w:r>
      <w:r w:rsidR="00BC2D0C" w:rsidRPr="00961E95">
        <w:t xml:space="preserve"> Тулуна       </w:t>
      </w:r>
      <w:r w:rsidR="000F5AFC">
        <w:t xml:space="preserve">                                                   </w:t>
      </w:r>
      <w:proofErr w:type="spellStart"/>
      <w:r w:rsidR="008606EB" w:rsidRPr="00961E95">
        <w:t>Л.В.Калинчук</w:t>
      </w:r>
      <w:proofErr w:type="spellEnd"/>
    </w:p>
    <w:sectPr w:rsidR="00F00ABF" w:rsidSect="005B784F">
      <w:footerReference w:type="default" r:id="rId21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6C" w:rsidRDefault="00EE726C" w:rsidP="0040595A">
      <w:r>
        <w:separator/>
      </w:r>
    </w:p>
  </w:endnote>
  <w:endnote w:type="continuationSeparator" w:id="0">
    <w:p w:rsidR="00EE726C" w:rsidRDefault="00EE726C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557" w:rsidRDefault="006615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C71D9">
      <w:rPr>
        <w:noProof/>
      </w:rPr>
      <w:t>14</w:t>
    </w:r>
    <w:r>
      <w:rPr>
        <w:noProof/>
      </w:rPr>
      <w:fldChar w:fldCharType="end"/>
    </w:r>
  </w:p>
  <w:p w:rsidR="00661557" w:rsidRDefault="006615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6C" w:rsidRDefault="00EE726C" w:rsidP="0040595A">
      <w:r>
        <w:separator/>
      </w:r>
    </w:p>
  </w:footnote>
  <w:footnote w:type="continuationSeparator" w:id="0">
    <w:p w:rsidR="00EE726C" w:rsidRDefault="00EE726C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666A43"/>
    <w:multiLevelType w:val="hybridMultilevel"/>
    <w:tmpl w:val="49E8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3C6E22"/>
    <w:multiLevelType w:val="hybridMultilevel"/>
    <w:tmpl w:val="4302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97C"/>
    <w:rsid w:val="000007BF"/>
    <w:rsid w:val="000034B4"/>
    <w:rsid w:val="00003E1E"/>
    <w:rsid w:val="00003E54"/>
    <w:rsid w:val="0000406A"/>
    <w:rsid w:val="00004934"/>
    <w:rsid w:val="00004B90"/>
    <w:rsid w:val="000065EB"/>
    <w:rsid w:val="000072E4"/>
    <w:rsid w:val="0000731D"/>
    <w:rsid w:val="0001005E"/>
    <w:rsid w:val="000142FA"/>
    <w:rsid w:val="000155E2"/>
    <w:rsid w:val="00016211"/>
    <w:rsid w:val="00017005"/>
    <w:rsid w:val="000171D4"/>
    <w:rsid w:val="0002255D"/>
    <w:rsid w:val="000230DA"/>
    <w:rsid w:val="00024192"/>
    <w:rsid w:val="00027F43"/>
    <w:rsid w:val="00030922"/>
    <w:rsid w:val="00030AEC"/>
    <w:rsid w:val="00031559"/>
    <w:rsid w:val="0003195E"/>
    <w:rsid w:val="00034F58"/>
    <w:rsid w:val="00035D61"/>
    <w:rsid w:val="00037A27"/>
    <w:rsid w:val="00037A55"/>
    <w:rsid w:val="00037DFE"/>
    <w:rsid w:val="0004026D"/>
    <w:rsid w:val="0004085C"/>
    <w:rsid w:val="00040AA6"/>
    <w:rsid w:val="0004274C"/>
    <w:rsid w:val="000431EC"/>
    <w:rsid w:val="00043E2E"/>
    <w:rsid w:val="00043E7B"/>
    <w:rsid w:val="00044103"/>
    <w:rsid w:val="00044A02"/>
    <w:rsid w:val="00045B76"/>
    <w:rsid w:val="00050224"/>
    <w:rsid w:val="000524F8"/>
    <w:rsid w:val="00052EAA"/>
    <w:rsid w:val="00052FAB"/>
    <w:rsid w:val="00054DF6"/>
    <w:rsid w:val="000551EB"/>
    <w:rsid w:val="00056193"/>
    <w:rsid w:val="0005715F"/>
    <w:rsid w:val="000572A8"/>
    <w:rsid w:val="0006020F"/>
    <w:rsid w:val="00061968"/>
    <w:rsid w:val="00063572"/>
    <w:rsid w:val="00064D26"/>
    <w:rsid w:val="00065639"/>
    <w:rsid w:val="00065F30"/>
    <w:rsid w:val="000663F6"/>
    <w:rsid w:val="000673D7"/>
    <w:rsid w:val="00067AD5"/>
    <w:rsid w:val="000712F9"/>
    <w:rsid w:val="000737B2"/>
    <w:rsid w:val="000755EB"/>
    <w:rsid w:val="000759B7"/>
    <w:rsid w:val="0007718D"/>
    <w:rsid w:val="000804C1"/>
    <w:rsid w:val="00081044"/>
    <w:rsid w:val="000820C1"/>
    <w:rsid w:val="0008754E"/>
    <w:rsid w:val="00090E64"/>
    <w:rsid w:val="00092AB2"/>
    <w:rsid w:val="000933B8"/>
    <w:rsid w:val="0009405E"/>
    <w:rsid w:val="00094CFF"/>
    <w:rsid w:val="00097234"/>
    <w:rsid w:val="00097767"/>
    <w:rsid w:val="000A2A43"/>
    <w:rsid w:val="000A2ED7"/>
    <w:rsid w:val="000A2FA8"/>
    <w:rsid w:val="000A397D"/>
    <w:rsid w:val="000A3B57"/>
    <w:rsid w:val="000A595F"/>
    <w:rsid w:val="000A5A02"/>
    <w:rsid w:val="000B12FE"/>
    <w:rsid w:val="000B1943"/>
    <w:rsid w:val="000B288D"/>
    <w:rsid w:val="000B3225"/>
    <w:rsid w:val="000B3B37"/>
    <w:rsid w:val="000B4F05"/>
    <w:rsid w:val="000B50A8"/>
    <w:rsid w:val="000C0020"/>
    <w:rsid w:val="000C258A"/>
    <w:rsid w:val="000C2B4E"/>
    <w:rsid w:val="000C4897"/>
    <w:rsid w:val="000C659C"/>
    <w:rsid w:val="000C7074"/>
    <w:rsid w:val="000C7A1D"/>
    <w:rsid w:val="000D4693"/>
    <w:rsid w:val="000D4EA3"/>
    <w:rsid w:val="000D767A"/>
    <w:rsid w:val="000D7C0B"/>
    <w:rsid w:val="000E1685"/>
    <w:rsid w:val="000E27CF"/>
    <w:rsid w:val="000E32B3"/>
    <w:rsid w:val="000E54F2"/>
    <w:rsid w:val="000E5689"/>
    <w:rsid w:val="000E5BD3"/>
    <w:rsid w:val="000F061C"/>
    <w:rsid w:val="000F15F1"/>
    <w:rsid w:val="000F2126"/>
    <w:rsid w:val="000F23E3"/>
    <w:rsid w:val="000F32AD"/>
    <w:rsid w:val="000F4739"/>
    <w:rsid w:val="000F558B"/>
    <w:rsid w:val="000F5823"/>
    <w:rsid w:val="000F5AFC"/>
    <w:rsid w:val="000F5F1D"/>
    <w:rsid w:val="000F63CB"/>
    <w:rsid w:val="000F7C52"/>
    <w:rsid w:val="001014E0"/>
    <w:rsid w:val="00102B50"/>
    <w:rsid w:val="00103227"/>
    <w:rsid w:val="001040E3"/>
    <w:rsid w:val="001064B7"/>
    <w:rsid w:val="0010652F"/>
    <w:rsid w:val="00106AC2"/>
    <w:rsid w:val="00112E3F"/>
    <w:rsid w:val="00113D59"/>
    <w:rsid w:val="0011402B"/>
    <w:rsid w:val="00115023"/>
    <w:rsid w:val="00116D74"/>
    <w:rsid w:val="00116DD5"/>
    <w:rsid w:val="00120331"/>
    <w:rsid w:val="00120FB9"/>
    <w:rsid w:val="00122BCE"/>
    <w:rsid w:val="001246A8"/>
    <w:rsid w:val="00124B2C"/>
    <w:rsid w:val="00126E81"/>
    <w:rsid w:val="001300F0"/>
    <w:rsid w:val="00131265"/>
    <w:rsid w:val="001315E4"/>
    <w:rsid w:val="00132A90"/>
    <w:rsid w:val="00133477"/>
    <w:rsid w:val="00133728"/>
    <w:rsid w:val="00134084"/>
    <w:rsid w:val="0013436A"/>
    <w:rsid w:val="00135CC9"/>
    <w:rsid w:val="0013639C"/>
    <w:rsid w:val="0014078C"/>
    <w:rsid w:val="00141352"/>
    <w:rsid w:val="001431CB"/>
    <w:rsid w:val="0014501A"/>
    <w:rsid w:val="0014604D"/>
    <w:rsid w:val="00150030"/>
    <w:rsid w:val="00150C7E"/>
    <w:rsid w:val="00150FFB"/>
    <w:rsid w:val="0015198F"/>
    <w:rsid w:val="00152713"/>
    <w:rsid w:val="00153450"/>
    <w:rsid w:val="001535BC"/>
    <w:rsid w:val="0016253D"/>
    <w:rsid w:val="00163205"/>
    <w:rsid w:val="001634D1"/>
    <w:rsid w:val="00165962"/>
    <w:rsid w:val="00170681"/>
    <w:rsid w:val="00171D19"/>
    <w:rsid w:val="00173486"/>
    <w:rsid w:val="001736D6"/>
    <w:rsid w:val="0017514D"/>
    <w:rsid w:val="00175E33"/>
    <w:rsid w:val="001765D7"/>
    <w:rsid w:val="00176859"/>
    <w:rsid w:val="00181300"/>
    <w:rsid w:val="00186D06"/>
    <w:rsid w:val="001870A3"/>
    <w:rsid w:val="0018710F"/>
    <w:rsid w:val="001877CB"/>
    <w:rsid w:val="00190F27"/>
    <w:rsid w:val="00191F40"/>
    <w:rsid w:val="00193725"/>
    <w:rsid w:val="00195F3B"/>
    <w:rsid w:val="00196507"/>
    <w:rsid w:val="00197DE2"/>
    <w:rsid w:val="001A1A39"/>
    <w:rsid w:val="001A5134"/>
    <w:rsid w:val="001A516A"/>
    <w:rsid w:val="001A53DC"/>
    <w:rsid w:val="001A607F"/>
    <w:rsid w:val="001A697E"/>
    <w:rsid w:val="001A6B9A"/>
    <w:rsid w:val="001B05EB"/>
    <w:rsid w:val="001B2766"/>
    <w:rsid w:val="001B2998"/>
    <w:rsid w:val="001B4DEB"/>
    <w:rsid w:val="001B6B80"/>
    <w:rsid w:val="001B76E2"/>
    <w:rsid w:val="001B7B79"/>
    <w:rsid w:val="001C1643"/>
    <w:rsid w:val="001C3DF3"/>
    <w:rsid w:val="001C522C"/>
    <w:rsid w:val="001C5863"/>
    <w:rsid w:val="001C6A70"/>
    <w:rsid w:val="001C6D39"/>
    <w:rsid w:val="001D0BFF"/>
    <w:rsid w:val="001D171E"/>
    <w:rsid w:val="001D5794"/>
    <w:rsid w:val="001D5CC0"/>
    <w:rsid w:val="001D7B32"/>
    <w:rsid w:val="001D7C17"/>
    <w:rsid w:val="001E004F"/>
    <w:rsid w:val="001E4151"/>
    <w:rsid w:val="001E53C6"/>
    <w:rsid w:val="001E5E46"/>
    <w:rsid w:val="001E5E8F"/>
    <w:rsid w:val="001E78B9"/>
    <w:rsid w:val="001E7AC6"/>
    <w:rsid w:val="001F091C"/>
    <w:rsid w:val="001F0BB3"/>
    <w:rsid w:val="001F3711"/>
    <w:rsid w:val="001F41E8"/>
    <w:rsid w:val="001F4D66"/>
    <w:rsid w:val="001F7323"/>
    <w:rsid w:val="002009E1"/>
    <w:rsid w:val="00200C0F"/>
    <w:rsid w:val="00203D6B"/>
    <w:rsid w:val="002058AC"/>
    <w:rsid w:val="00210CF1"/>
    <w:rsid w:val="0021139D"/>
    <w:rsid w:val="00211435"/>
    <w:rsid w:val="00211696"/>
    <w:rsid w:val="00211E1C"/>
    <w:rsid w:val="0021267D"/>
    <w:rsid w:val="0021384D"/>
    <w:rsid w:val="00215752"/>
    <w:rsid w:val="00215839"/>
    <w:rsid w:val="00216215"/>
    <w:rsid w:val="00216645"/>
    <w:rsid w:val="00216B01"/>
    <w:rsid w:val="00217F01"/>
    <w:rsid w:val="00220F26"/>
    <w:rsid w:val="00223615"/>
    <w:rsid w:val="00223E2A"/>
    <w:rsid w:val="0022671D"/>
    <w:rsid w:val="00226897"/>
    <w:rsid w:val="0022697C"/>
    <w:rsid w:val="00226980"/>
    <w:rsid w:val="00227CBA"/>
    <w:rsid w:val="002318AA"/>
    <w:rsid w:val="00234E1B"/>
    <w:rsid w:val="00236D5A"/>
    <w:rsid w:val="0024058E"/>
    <w:rsid w:val="002429C1"/>
    <w:rsid w:val="002432B9"/>
    <w:rsid w:val="002471EA"/>
    <w:rsid w:val="0024794B"/>
    <w:rsid w:val="002507F0"/>
    <w:rsid w:val="00251034"/>
    <w:rsid w:val="00254154"/>
    <w:rsid w:val="002550A7"/>
    <w:rsid w:val="002552BC"/>
    <w:rsid w:val="00256730"/>
    <w:rsid w:val="00256E42"/>
    <w:rsid w:val="0026113F"/>
    <w:rsid w:val="002612FC"/>
    <w:rsid w:val="002632FD"/>
    <w:rsid w:val="0026359E"/>
    <w:rsid w:val="00263676"/>
    <w:rsid w:val="00264561"/>
    <w:rsid w:val="00265B3D"/>
    <w:rsid w:val="002716ED"/>
    <w:rsid w:val="00271841"/>
    <w:rsid w:val="00272280"/>
    <w:rsid w:val="002725EA"/>
    <w:rsid w:val="00275120"/>
    <w:rsid w:val="00275E9B"/>
    <w:rsid w:val="00276274"/>
    <w:rsid w:val="00276716"/>
    <w:rsid w:val="00277807"/>
    <w:rsid w:val="002809DF"/>
    <w:rsid w:val="00284159"/>
    <w:rsid w:val="00285C27"/>
    <w:rsid w:val="00286910"/>
    <w:rsid w:val="002918AD"/>
    <w:rsid w:val="00291E38"/>
    <w:rsid w:val="0029409D"/>
    <w:rsid w:val="00294544"/>
    <w:rsid w:val="00297FCC"/>
    <w:rsid w:val="002A3374"/>
    <w:rsid w:val="002A4B81"/>
    <w:rsid w:val="002A53A9"/>
    <w:rsid w:val="002A7B8B"/>
    <w:rsid w:val="002B2F2C"/>
    <w:rsid w:val="002B44EE"/>
    <w:rsid w:val="002B47E7"/>
    <w:rsid w:val="002B4EEF"/>
    <w:rsid w:val="002C0A8F"/>
    <w:rsid w:val="002C166F"/>
    <w:rsid w:val="002C3B4E"/>
    <w:rsid w:val="002C3F89"/>
    <w:rsid w:val="002C4B8A"/>
    <w:rsid w:val="002C518E"/>
    <w:rsid w:val="002D04FC"/>
    <w:rsid w:val="002D0B7A"/>
    <w:rsid w:val="002D2D8B"/>
    <w:rsid w:val="002D640E"/>
    <w:rsid w:val="002E0192"/>
    <w:rsid w:val="002E07EB"/>
    <w:rsid w:val="002E0840"/>
    <w:rsid w:val="002E099D"/>
    <w:rsid w:val="002E1D81"/>
    <w:rsid w:val="002E23CF"/>
    <w:rsid w:val="002E267F"/>
    <w:rsid w:val="002E33F6"/>
    <w:rsid w:val="002E373E"/>
    <w:rsid w:val="002E4875"/>
    <w:rsid w:val="002E51F0"/>
    <w:rsid w:val="002E774B"/>
    <w:rsid w:val="002E7F2B"/>
    <w:rsid w:val="002F0981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0444C"/>
    <w:rsid w:val="003045A5"/>
    <w:rsid w:val="00306FC4"/>
    <w:rsid w:val="00313249"/>
    <w:rsid w:val="003134F6"/>
    <w:rsid w:val="00313652"/>
    <w:rsid w:val="0031458C"/>
    <w:rsid w:val="003155E8"/>
    <w:rsid w:val="00316030"/>
    <w:rsid w:val="0031670F"/>
    <w:rsid w:val="00316CA4"/>
    <w:rsid w:val="003206FE"/>
    <w:rsid w:val="00320CE0"/>
    <w:rsid w:val="00323455"/>
    <w:rsid w:val="00323669"/>
    <w:rsid w:val="00324C20"/>
    <w:rsid w:val="00324DC9"/>
    <w:rsid w:val="00326931"/>
    <w:rsid w:val="003276D2"/>
    <w:rsid w:val="003276F3"/>
    <w:rsid w:val="00330803"/>
    <w:rsid w:val="00330E55"/>
    <w:rsid w:val="00332589"/>
    <w:rsid w:val="00333C2F"/>
    <w:rsid w:val="00334E98"/>
    <w:rsid w:val="00335266"/>
    <w:rsid w:val="00335B1B"/>
    <w:rsid w:val="00336453"/>
    <w:rsid w:val="00336684"/>
    <w:rsid w:val="003371F3"/>
    <w:rsid w:val="00337A7C"/>
    <w:rsid w:val="003446AF"/>
    <w:rsid w:val="00347265"/>
    <w:rsid w:val="00350DDD"/>
    <w:rsid w:val="00361961"/>
    <w:rsid w:val="00361C98"/>
    <w:rsid w:val="0036628E"/>
    <w:rsid w:val="003723B6"/>
    <w:rsid w:val="00372EBC"/>
    <w:rsid w:val="003748E8"/>
    <w:rsid w:val="00375230"/>
    <w:rsid w:val="00375A38"/>
    <w:rsid w:val="00376356"/>
    <w:rsid w:val="0037687C"/>
    <w:rsid w:val="00377408"/>
    <w:rsid w:val="003774EF"/>
    <w:rsid w:val="00377B6B"/>
    <w:rsid w:val="00377FCB"/>
    <w:rsid w:val="0038052C"/>
    <w:rsid w:val="00382CE1"/>
    <w:rsid w:val="00383D2F"/>
    <w:rsid w:val="00385CDF"/>
    <w:rsid w:val="00386C5B"/>
    <w:rsid w:val="00387653"/>
    <w:rsid w:val="0039713E"/>
    <w:rsid w:val="00397FE4"/>
    <w:rsid w:val="003A1C33"/>
    <w:rsid w:val="003A2073"/>
    <w:rsid w:val="003A2AE2"/>
    <w:rsid w:val="003A43E3"/>
    <w:rsid w:val="003A449C"/>
    <w:rsid w:val="003A5189"/>
    <w:rsid w:val="003A60FC"/>
    <w:rsid w:val="003A644C"/>
    <w:rsid w:val="003B0BF8"/>
    <w:rsid w:val="003B4B02"/>
    <w:rsid w:val="003B4D69"/>
    <w:rsid w:val="003B54D5"/>
    <w:rsid w:val="003B5DEF"/>
    <w:rsid w:val="003B65BE"/>
    <w:rsid w:val="003B684D"/>
    <w:rsid w:val="003B7231"/>
    <w:rsid w:val="003B74CB"/>
    <w:rsid w:val="003C10F4"/>
    <w:rsid w:val="003C2F83"/>
    <w:rsid w:val="003C3DFA"/>
    <w:rsid w:val="003C3E6A"/>
    <w:rsid w:val="003C4734"/>
    <w:rsid w:val="003D4CDD"/>
    <w:rsid w:val="003D5562"/>
    <w:rsid w:val="003D6176"/>
    <w:rsid w:val="003D77C3"/>
    <w:rsid w:val="003E41DF"/>
    <w:rsid w:val="003E4840"/>
    <w:rsid w:val="003F1988"/>
    <w:rsid w:val="003F2654"/>
    <w:rsid w:val="003F297B"/>
    <w:rsid w:val="003F483F"/>
    <w:rsid w:val="003F66FC"/>
    <w:rsid w:val="003F6BD0"/>
    <w:rsid w:val="003F6D2B"/>
    <w:rsid w:val="003F6DA0"/>
    <w:rsid w:val="003F784C"/>
    <w:rsid w:val="00402EA0"/>
    <w:rsid w:val="00404CAB"/>
    <w:rsid w:val="0040503B"/>
    <w:rsid w:val="0040594F"/>
    <w:rsid w:val="0040595A"/>
    <w:rsid w:val="00406782"/>
    <w:rsid w:val="00406BC7"/>
    <w:rsid w:val="00410979"/>
    <w:rsid w:val="0041100D"/>
    <w:rsid w:val="004123BC"/>
    <w:rsid w:val="00412DC6"/>
    <w:rsid w:val="0041340A"/>
    <w:rsid w:val="00414EAF"/>
    <w:rsid w:val="00415173"/>
    <w:rsid w:val="00415208"/>
    <w:rsid w:val="00416ADC"/>
    <w:rsid w:val="00420451"/>
    <w:rsid w:val="00422F9A"/>
    <w:rsid w:val="0042531A"/>
    <w:rsid w:val="004262F9"/>
    <w:rsid w:val="0042725D"/>
    <w:rsid w:val="00427EBE"/>
    <w:rsid w:val="00430063"/>
    <w:rsid w:val="004343BD"/>
    <w:rsid w:val="00437471"/>
    <w:rsid w:val="00442075"/>
    <w:rsid w:val="004420DD"/>
    <w:rsid w:val="00445964"/>
    <w:rsid w:val="0044699B"/>
    <w:rsid w:val="004478AA"/>
    <w:rsid w:val="0045188E"/>
    <w:rsid w:val="004547CB"/>
    <w:rsid w:val="00454E05"/>
    <w:rsid w:val="00455A24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0761"/>
    <w:rsid w:val="00472702"/>
    <w:rsid w:val="00472FB1"/>
    <w:rsid w:val="004734B1"/>
    <w:rsid w:val="00473C69"/>
    <w:rsid w:val="0047411B"/>
    <w:rsid w:val="00475154"/>
    <w:rsid w:val="0047566C"/>
    <w:rsid w:val="0047736F"/>
    <w:rsid w:val="00477F66"/>
    <w:rsid w:val="004802AF"/>
    <w:rsid w:val="004808DE"/>
    <w:rsid w:val="00484CD0"/>
    <w:rsid w:val="004854C7"/>
    <w:rsid w:val="00493754"/>
    <w:rsid w:val="004939DB"/>
    <w:rsid w:val="00496BD7"/>
    <w:rsid w:val="004A12CC"/>
    <w:rsid w:val="004A178F"/>
    <w:rsid w:val="004A256C"/>
    <w:rsid w:val="004A2F98"/>
    <w:rsid w:val="004A36F3"/>
    <w:rsid w:val="004A4152"/>
    <w:rsid w:val="004A4910"/>
    <w:rsid w:val="004A4A19"/>
    <w:rsid w:val="004A52EC"/>
    <w:rsid w:val="004A5FAB"/>
    <w:rsid w:val="004A6DF7"/>
    <w:rsid w:val="004A7078"/>
    <w:rsid w:val="004B00F1"/>
    <w:rsid w:val="004B1738"/>
    <w:rsid w:val="004B1CC5"/>
    <w:rsid w:val="004B23FF"/>
    <w:rsid w:val="004B30E2"/>
    <w:rsid w:val="004B38D3"/>
    <w:rsid w:val="004B5036"/>
    <w:rsid w:val="004B7035"/>
    <w:rsid w:val="004B7C4B"/>
    <w:rsid w:val="004C0D40"/>
    <w:rsid w:val="004C169F"/>
    <w:rsid w:val="004C2F70"/>
    <w:rsid w:val="004C3D24"/>
    <w:rsid w:val="004C418D"/>
    <w:rsid w:val="004C419E"/>
    <w:rsid w:val="004C58D6"/>
    <w:rsid w:val="004C7362"/>
    <w:rsid w:val="004D4D3F"/>
    <w:rsid w:val="004D5D5C"/>
    <w:rsid w:val="004D5ECD"/>
    <w:rsid w:val="004E00F4"/>
    <w:rsid w:val="004E0754"/>
    <w:rsid w:val="004E14FB"/>
    <w:rsid w:val="004E1AE5"/>
    <w:rsid w:val="004E3197"/>
    <w:rsid w:val="004E3CC7"/>
    <w:rsid w:val="004E3EC4"/>
    <w:rsid w:val="004E529E"/>
    <w:rsid w:val="004E78B3"/>
    <w:rsid w:val="004F2B25"/>
    <w:rsid w:val="004F2BC2"/>
    <w:rsid w:val="004F32BA"/>
    <w:rsid w:val="004F37CD"/>
    <w:rsid w:val="004F39DA"/>
    <w:rsid w:val="004F6216"/>
    <w:rsid w:val="004F7E1F"/>
    <w:rsid w:val="00500C8B"/>
    <w:rsid w:val="005029D5"/>
    <w:rsid w:val="00502EEB"/>
    <w:rsid w:val="0050360C"/>
    <w:rsid w:val="00503F45"/>
    <w:rsid w:val="00506272"/>
    <w:rsid w:val="0050637A"/>
    <w:rsid w:val="00507C6E"/>
    <w:rsid w:val="0051016D"/>
    <w:rsid w:val="0051147F"/>
    <w:rsid w:val="005120E7"/>
    <w:rsid w:val="00512154"/>
    <w:rsid w:val="00513386"/>
    <w:rsid w:val="00514A77"/>
    <w:rsid w:val="00514A82"/>
    <w:rsid w:val="00516E6A"/>
    <w:rsid w:val="00520C7A"/>
    <w:rsid w:val="0052223D"/>
    <w:rsid w:val="00522689"/>
    <w:rsid w:val="00525C15"/>
    <w:rsid w:val="005275CE"/>
    <w:rsid w:val="005305E6"/>
    <w:rsid w:val="00532829"/>
    <w:rsid w:val="00534DE0"/>
    <w:rsid w:val="00536BB2"/>
    <w:rsid w:val="00537617"/>
    <w:rsid w:val="0053770C"/>
    <w:rsid w:val="00537A3E"/>
    <w:rsid w:val="00537F6C"/>
    <w:rsid w:val="0054132E"/>
    <w:rsid w:val="0054162F"/>
    <w:rsid w:val="005430C1"/>
    <w:rsid w:val="005434BF"/>
    <w:rsid w:val="005450CB"/>
    <w:rsid w:val="0055045F"/>
    <w:rsid w:val="00550509"/>
    <w:rsid w:val="005528CB"/>
    <w:rsid w:val="00553429"/>
    <w:rsid w:val="005563AA"/>
    <w:rsid w:val="005565DE"/>
    <w:rsid w:val="005567B7"/>
    <w:rsid w:val="00556CB8"/>
    <w:rsid w:val="00557164"/>
    <w:rsid w:val="00561EB6"/>
    <w:rsid w:val="00564444"/>
    <w:rsid w:val="005655E7"/>
    <w:rsid w:val="00567770"/>
    <w:rsid w:val="0057048C"/>
    <w:rsid w:val="00572ABB"/>
    <w:rsid w:val="00573E33"/>
    <w:rsid w:val="005746BE"/>
    <w:rsid w:val="005751F2"/>
    <w:rsid w:val="00580040"/>
    <w:rsid w:val="005817EC"/>
    <w:rsid w:val="0058188F"/>
    <w:rsid w:val="00584879"/>
    <w:rsid w:val="0058489E"/>
    <w:rsid w:val="005856DC"/>
    <w:rsid w:val="00586030"/>
    <w:rsid w:val="0058618C"/>
    <w:rsid w:val="00586DB3"/>
    <w:rsid w:val="00590D03"/>
    <w:rsid w:val="005915F3"/>
    <w:rsid w:val="00593AF6"/>
    <w:rsid w:val="005A0AF6"/>
    <w:rsid w:val="005A0B47"/>
    <w:rsid w:val="005A0F30"/>
    <w:rsid w:val="005A2FB5"/>
    <w:rsid w:val="005A304B"/>
    <w:rsid w:val="005A3CC2"/>
    <w:rsid w:val="005A5489"/>
    <w:rsid w:val="005A6C19"/>
    <w:rsid w:val="005B4151"/>
    <w:rsid w:val="005B4A3D"/>
    <w:rsid w:val="005B6017"/>
    <w:rsid w:val="005B68D1"/>
    <w:rsid w:val="005B7655"/>
    <w:rsid w:val="005B784F"/>
    <w:rsid w:val="005B7DC3"/>
    <w:rsid w:val="005B7FC8"/>
    <w:rsid w:val="005C0363"/>
    <w:rsid w:val="005C0F98"/>
    <w:rsid w:val="005C211B"/>
    <w:rsid w:val="005C51AB"/>
    <w:rsid w:val="005C61E7"/>
    <w:rsid w:val="005D0244"/>
    <w:rsid w:val="005D141E"/>
    <w:rsid w:val="005D1607"/>
    <w:rsid w:val="005D1C13"/>
    <w:rsid w:val="005D4422"/>
    <w:rsid w:val="005D5343"/>
    <w:rsid w:val="005D6BEE"/>
    <w:rsid w:val="005D7E88"/>
    <w:rsid w:val="005E27C9"/>
    <w:rsid w:val="005E3F14"/>
    <w:rsid w:val="005F0A8E"/>
    <w:rsid w:val="005F2F42"/>
    <w:rsid w:val="005F437E"/>
    <w:rsid w:val="005F7CDC"/>
    <w:rsid w:val="00600059"/>
    <w:rsid w:val="00600EF6"/>
    <w:rsid w:val="00602CD3"/>
    <w:rsid w:val="00604BC3"/>
    <w:rsid w:val="00605A20"/>
    <w:rsid w:val="00606B39"/>
    <w:rsid w:val="0061175D"/>
    <w:rsid w:val="00612618"/>
    <w:rsid w:val="0061430D"/>
    <w:rsid w:val="0061547B"/>
    <w:rsid w:val="00616A84"/>
    <w:rsid w:val="0061757F"/>
    <w:rsid w:val="00624DC0"/>
    <w:rsid w:val="0062648F"/>
    <w:rsid w:val="00631A31"/>
    <w:rsid w:val="006332C5"/>
    <w:rsid w:val="00634469"/>
    <w:rsid w:val="00634719"/>
    <w:rsid w:val="00635F6A"/>
    <w:rsid w:val="0064074F"/>
    <w:rsid w:val="00640F67"/>
    <w:rsid w:val="00643610"/>
    <w:rsid w:val="00646176"/>
    <w:rsid w:val="00646F9C"/>
    <w:rsid w:val="006479C0"/>
    <w:rsid w:val="00650957"/>
    <w:rsid w:val="00650FD8"/>
    <w:rsid w:val="00651847"/>
    <w:rsid w:val="00653B4B"/>
    <w:rsid w:val="00655CB7"/>
    <w:rsid w:val="00657728"/>
    <w:rsid w:val="00657E6D"/>
    <w:rsid w:val="00661557"/>
    <w:rsid w:val="00662B8B"/>
    <w:rsid w:val="00670795"/>
    <w:rsid w:val="00670D98"/>
    <w:rsid w:val="00673108"/>
    <w:rsid w:val="00673AA9"/>
    <w:rsid w:val="00673CE0"/>
    <w:rsid w:val="00681311"/>
    <w:rsid w:val="006814D6"/>
    <w:rsid w:val="00681B7A"/>
    <w:rsid w:val="006823BE"/>
    <w:rsid w:val="0068296B"/>
    <w:rsid w:val="00682E3D"/>
    <w:rsid w:val="00685A62"/>
    <w:rsid w:val="006864ED"/>
    <w:rsid w:val="0068663D"/>
    <w:rsid w:val="00686F20"/>
    <w:rsid w:val="00687646"/>
    <w:rsid w:val="006905E9"/>
    <w:rsid w:val="006955C8"/>
    <w:rsid w:val="00695739"/>
    <w:rsid w:val="00695CE7"/>
    <w:rsid w:val="006A1F86"/>
    <w:rsid w:val="006A3A21"/>
    <w:rsid w:val="006A46F9"/>
    <w:rsid w:val="006A57E4"/>
    <w:rsid w:val="006A7EE6"/>
    <w:rsid w:val="006B3277"/>
    <w:rsid w:val="006B4ED2"/>
    <w:rsid w:val="006B607B"/>
    <w:rsid w:val="006C1080"/>
    <w:rsid w:val="006C2B10"/>
    <w:rsid w:val="006C536F"/>
    <w:rsid w:val="006C6C4F"/>
    <w:rsid w:val="006C7DF5"/>
    <w:rsid w:val="006D0AFD"/>
    <w:rsid w:val="006D2243"/>
    <w:rsid w:val="006D35CF"/>
    <w:rsid w:val="006D4256"/>
    <w:rsid w:val="006D5978"/>
    <w:rsid w:val="006D5CBC"/>
    <w:rsid w:val="006E0488"/>
    <w:rsid w:val="006E0490"/>
    <w:rsid w:val="006E1582"/>
    <w:rsid w:val="006E16E3"/>
    <w:rsid w:val="006E22D4"/>
    <w:rsid w:val="006E2DC4"/>
    <w:rsid w:val="006E43F4"/>
    <w:rsid w:val="006E567B"/>
    <w:rsid w:val="006E628D"/>
    <w:rsid w:val="006E66A6"/>
    <w:rsid w:val="006E6D98"/>
    <w:rsid w:val="006E7D3B"/>
    <w:rsid w:val="006F102F"/>
    <w:rsid w:val="006F129A"/>
    <w:rsid w:val="006F20C0"/>
    <w:rsid w:val="006F271E"/>
    <w:rsid w:val="006F3B18"/>
    <w:rsid w:val="006F4639"/>
    <w:rsid w:val="006F4E5E"/>
    <w:rsid w:val="00701336"/>
    <w:rsid w:val="00702FE6"/>
    <w:rsid w:val="007032C7"/>
    <w:rsid w:val="00703791"/>
    <w:rsid w:val="00706631"/>
    <w:rsid w:val="00712BD1"/>
    <w:rsid w:val="007142DE"/>
    <w:rsid w:val="00714528"/>
    <w:rsid w:val="00716256"/>
    <w:rsid w:val="00716433"/>
    <w:rsid w:val="00716779"/>
    <w:rsid w:val="00717914"/>
    <w:rsid w:val="00720454"/>
    <w:rsid w:val="00721439"/>
    <w:rsid w:val="00721AAA"/>
    <w:rsid w:val="00725066"/>
    <w:rsid w:val="00725D99"/>
    <w:rsid w:val="007309B5"/>
    <w:rsid w:val="00731195"/>
    <w:rsid w:val="0073151A"/>
    <w:rsid w:val="00731774"/>
    <w:rsid w:val="00733B89"/>
    <w:rsid w:val="007344DE"/>
    <w:rsid w:val="0074057C"/>
    <w:rsid w:val="0074289B"/>
    <w:rsid w:val="00742B1D"/>
    <w:rsid w:val="007443C4"/>
    <w:rsid w:val="00746AF5"/>
    <w:rsid w:val="007477CA"/>
    <w:rsid w:val="00750A10"/>
    <w:rsid w:val="007519A2"/>
    <w:rsid w:val="00752F42"/>
    <w:rsid w:val="0075306E"/>
    <w:rsid w:val="00753FE7"/>
    <w:rsid w:val="007546D5"/>
    <w:rsid w:val="00756ECD"/>
    <w:rsid w:val="00760993"/>
    <w:rsid w:val="0076140C"/>
    <w:rsid w:val="00763B3A"/>
    <w:rsid w:val="0076427B"/>
    <w:rsid w:val="007644F5"/>
    <w:rsid w:val="0077013F"/>
    <w:rsid w:val="0077119C"/>
    <w:rsid w:val="00771B08"/>
    <w:rsid w:val="00772F62"/>
    <w:rsid w:val="00773685"/>
    <w:rsid w:val="0077380F"/>
    <w:rsid w:val="007752C0"/>
    <w:rsid w:val="00775B84"/>
    <w:rsid w:val="007826D4"/>
    <w:rsid w:val="007843AA"/>
    <w:rsid w:val="00784612"/>
    <w:rsid w:val="00785733"/>
    <w:rsid w:val="0078712F"/>
    <w:rsid w:val="0078713A"/>
    <w:rsid w:val="007875DE"/>
    <w:rsid w:val="0078785D"/>
    <w:rsid w:val="00790981"/>
    <w:rsid w:val="007922A6"/>
    <w:rsid w:val="007947D9"/>
    <w:rsid w:val="0079555E"/>
    <w:rsid w:val="00797D60"/>
    <w:rsid w:val="007A10D6"/>
    <w:rsid w:val="007A2871"/>
    <w:rsid w:val="007A469E"/>
    <w:rsid w:val="007A478D"/>
    <w:rsid w:val="007A6654"/>
    <w:rsid w:val="007B1B46"/>
    <w:rsid w:val="007B5DE0"/>
    <w:rsid w:val="007C0477"/>
    <w:rsid w:val="007C115C"/>
    <w:rsid w:val="007C19D7"/>
    <w:rsid w:val="007C3421"/>
    <w:rsid w:val="007C38E0"/>
    <w:rsid w:val="007C4233"/>
    <w:rsid w:val="007C4D80"/>
    <w:rsid w:val="007C50CE"/>
    <w:rsid w:val="007C5E40"/>
    <w:rsid w:val="007C688A"/>
    <w:rsid w:val="007C6FD2"/>
    <w:rsid w:val="007D404F"/>
    <w:rsid w:val="007D5640"/>
    <w:rsid w:val="007D5F83"/>
    <w:rsid w:val="007D6E72"/>
    <w:rsid w:val="007D6FCA"/>
    <w:rsid w:val="007E140A"/>
    <w:rsid w:val="007E2333"/>
    <w:rsid w:val="007E2A3F"/>
    <w:rsid w:val="007E319B"/>
    <w:rsid w:val="007E697B"/>
    <w:rsid w:val="007E6F03"/>
    <w:rsid w:val="007E7F9E"/>
    <w:rsid w:val="007F24D4"/>
    <w:rsid w:val="007F2524"/>
    <w:rsid w:val="007F3774"/>
    <w:rsid w:val="007F4894"/>
    <w:rsid w:val="007F6A41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1453"/>
    <w:rsid w:val="008118AA"/>
    <w:rsid w:val="00811B6F"/>
    <w:rsid w:val="008151C0"/>
    <w:rsid w:val="0081629D"/>
    <w:rsid w:val="008178F2"/>
    <w:rsid w:val="00821F78"/>
    <w:rsid w:val="00822745"/>
    <w:rsid w:val="00822EA5"/>
    <w:rsid w:val="00823445"/>
    <w:rsid w:val="008245CE"/>
    <w:rsid w:val="008261B1"/>
    <w:rsid w:val="008262D2"/>
    <w:rsid w:val="008271DD"/>
    <w:rsid w:val="00830118"/>
    <w:rsid w:val="00831806"/>
    <w:rsid w:val="00831F1E"/>
    <w:rsid w:val="00832B4C"/>
    <w:rsid w:val="00832D41"/>
    <w:rsid w:val="00832DD1"/>
    <w:rsid w:val="00833BE0"/>
    <w:rsid w:val="008356F9"/>
    <w:rsid w:val="00840448"/>
    <w:rsid w:val="0084067F"/>
    <w:rsid w:val="008408EA"/>
    <w:rsid w:val="0084148C"/>
    <w:rsid w:val="00844441"/>
    <w:rsid w:val="008451A6"/>
    <w:rsid w:val="00846256"/>
    <w:rsid w:val="00846330"/>
    <w:rsid w:val="0084714D"/>
    <w:rsid w:val="00851563"/>
    <w:rsid w:val="0085268C"/>
    <w:rsid w:val="00853D25"/>
    <w:rsid w:val="00854910"/>
    <w:rsid w:val="0085492B"/>
    <w:rsid w:val="008606EB"/>
    <w:rsid w:val="0086149B"/>
    <w:rsid w:val="008619D4"/>
    <w:rsid w:val="00864DE0"/>
    <w:rsid w:val="00872094"/>
    <w:rsid w:val="00873F81"/>
    <w:rsid w:val="0087515A"/>
    <w:rsid w:val="0087599B"/>
    <w:rsid w:val="008763CD"/>
    <w:rsid w:val="00877669"/>
    <w:rsid w:val="00877A27"/>
    <w:rsid w:val="008812D6"/>
    <w:rsid w:val="00882D3B"/>
    <w:rsid w:val="00883F92"/>
    <w:rsid w:val="0088423B"/>
    <w:rsid w:val="00884472"/>
    <w:rsid w:val="00885E1B"/>
    <w:rsid w:val="00885F84"/>
    <w:rsid w:val="0089029C"/>
    <w:rsid w:val="00891D8C"/>
    <w:rsid w:val="0089377F"/>
    <w:rsid w:val="00893F54"/>
    <w:rsid w:val="00894397"/>
    <w:rsid w:val="00894E48"/>
    <w:rsid w:val="00897701"/>
    <w:rsid w:val="00897AC8"/>
    <w:rsid w:val="008A106C"/>
    <w:rsid w:val="008A1B1B"/>
    <w:rsid w:val="008A4935"/>
    <w:rsid w:val="008A4BC9"/>
    <w:rsid w:val="008A574E"/>
    <w:rsid w:val="008A5D8B"/>
    <w:rsid w:val="008A611F"/>
    <w:rsid w:val="008B0427"/>
    <w:rsid w:val="008B208D"/>
    <w:rsid w:val="008B2DEB"/>
    <w:rsid w:val="008B372C"/>
    <w:rsid w:val="008B3D16"/>
    <w:rsid w:val="008B52B9"/>
    <w:rsid w:val="008B70F7"/>
    <w:rsid w:val="008B7B7D"/>
    <w:rsid w:val="008C0FF5"/>
    <w:rsid w:val="008C10AB"/>
    <w:rsid w:val="008C190D"/>
    <w:rsid w:val="008C341B"/>
    <w:rsid w:val="008C3DDA"/>
    <w:rsid w:val="008C3E8F"/>
    <w:rsid w:val="008C3F3B"/>
    <w:rsid w:val="008C5853"/>
    <w:rsid w:val="008C632A"/>
    <w:rsid w:val="008D2918"/>
    <w:rsid w:val="008D3966"/>
    <w:rsid w:val="008D3B86"/>
    <w:rsid w:val="008D3E17"/>
    <w:rsid w:val="008D4486"/>
    <w:rsid w:val="008D5264"/>
    <w:rsid w:val="008D5B84"/>
    <w:rsid w:val="008E0380"/>
    <w:rsid w:val="008E1ADA"/>
    <w:rsid w:val="008E311B"/>
    <w:rsid w:val="008E324F"/>
    <w:rsid w:val="008E33BF"/>
    <w:rsid w:val="008E43AD"/>
    <w:rsid w:val="008F0AE3"/>
    <w:rsid w:val="008F237C"/>
    <w:rsid w:val="008F3B74"/>
    <w:rsid w:val="00903F12"/>
    <w:rsid w:val="009057A6"/>
    <w:rsid w:val="00905855"/>
    <w:rsid w:val="00905CCA"/>
    <w:rsid w:val="00907A0F"/>
    <w:rsid w:val="00907F68"/>
    <w:rsid w:val="009104FC"/>
    <w:rsid w:val="00911352"/>
    <w:rsid w:val="0091513C"/>
    <w:rsid w:val="00916667"/>
    <w:rsid w:val="00916A9F"/>
    <w:rsid w:val="00921741"/>
    <w:rsid w:val="00921F45"/>
    <w:rsid w:val="009227C8"/>
    <w:rsid w:val="009259B6"/>
    <w:rsid w:val="009272E3"/>
    <w:rsid w:val="00930466"/>
    <w:rsid w:val="00931B52"/>
    <w:rsid w:val="00932ADB"/>
    <w:rsid w:val="009342F1"/>
    <w:rsid w:val="00935D16"/>
    <w:rsid w:val="00941B0A"/>
    <w:rsid w:val="0094254F"/>
    <w:rsid w:val="00942B91"/>
    <w:rsid w:val="009463D3"/>
    <w:rsid w:val="009464C4"/>
    <w:rsid w:val="009470A8"/>
    <w:rsid w:val="0094730C"/>
    <w:rsid w:val="00950B4C"/>
    <w:rsid w:val="00950F74"/>
    <w:rsid w:val="0095485F"/>
    <w:rsid w:val="00954F38"/>
    <w:rsid w:val="00956346"/>
    <w:rsid w:val="00956E54"/>
    <w:rsid w:val="009577C8"/>
    <w:rsid w:val="00961E95"/>
    <w:rsid w:val="00963003"/>
    <w:rsid w:val="00963455"/>
    <w:rsid w:val="00965AB2"/>
    <w:rsid w:val="009676E8"/>
    <w:rsid w:val="00972F1F"/>
    <w:rsid w:val="00976352"/>
    <w:rsid w:val="0097692F"/>
    <w:rsid w:val="009800D4"/>
    <w:rsid w:val="00982802"/>
    <w:rsid w:val="00983F07"/>
    <w:rsid w:val="00984B43"/>
    <w:rsid w:val="0098759D"/>
    <w:rsid w:val="009919D2"/>
    <w:rsid w:val="00992030"/>
    <w:rsid w:val="009940B6"/>
    <w:rsid w:val="00994781"/>
    <w:rsid w:val="00995A60"/>
    <w:rsid w:val="0099726F"/>
    <w:rsid w:val="0099798A"/>
    <w:rsid w:val="009A20CA"/>
    <w:rsid w:val="009A278C"/>
    <w:rsid w:val="009A2C41"/>
    <w:rsid w:val="009A604B"/>
    <w:rsid w:val="009A7042"/>
    <w:rsid w:val="009B0AA6"/>
    <w:rsid w:val="009B2601"/>
    <w:rsid w:val="009B3B1C"/>
    <w:rsid w:val="009B3BA6"/>
    <w:rsid w:val="009B4764"/>
    <w:rsid w:val="009B63EE"/>
    <w:rsid w:val="009B6E3D"/>
    <w:rsid w:val="009B76B9"/>
    <w:rsid w:val="009C093A"/>
    <w:rsid w:val="009C56C1"/>
    <w:rsid w:val="009C5AC2"/>
    <w:rsid w:val="009D0933"/>
    <w:rsid w:val="009D194E"/>
    <w:rsid w:val="009D282F"/>
    <w:rsid w:val="009D2F2C"/>
    <w:rsid w:val="009D533C"/>
    <w:rsid w:val="009D6045"/>
    <w:rsid w:val="009D6E94"/>
    <w:rsid w:val="009E12CC"/>
    <w:rsid w:val="009E2DB6"/>
    <w:rsid w:val="009E2FE5"/>
    <w:rsid w:val="009E36B0"/>
    <w:rsid w:val="009E3F06"/>
    <w:rsid w:val="009E44C1"/>
    <w:rsid w:val="009E6F78"/>
    <w:rsid w:val="009F1ABD"/>
    <w:rsid w:val="009F5E87"/>
    <w:rsid w:val="009F6962"/>
    <w:rsid w:val="00A0003B"/>
    <w:rsid w:val="00A0050B"/>
    <w:rsid w:val="00A0074C"/>
    <w:rsid w:val="00A01893"/>
    <w:rsid w:val="00A041B5"/>
    <w:rsid w:val="00A102AD"/>
    <w:rsid w:val="00A110DF"/>
    <w:rsid w:val="00A11193"/>
    <w:rsid w:val="00A11B58"/>
    <w:rsid w:val="00A12585"/>
    <w:rsid w:val="00A126CD"/>
    <w:rsid w:val="00A15A71"/>
    <w:rsid w:val="00A163C3"/>
    <w:rsid w:val="00A16DAD"/>
    <w:rsid w:val="00A25373"/>
    <w:rsid w:val="00A254F2"/>
    <w:rsid w:val="00A26AE3"/>
    <w:rsid w:val="00A26B24"/>
    <w:rsid w:val="00A2784B"/>
    <w:rsid w:val="00A27BF4"/>
    <w:rsid w:val="00A3226B"/>
    <w:rsid w:val="00A329CB"/>
    <w:rsid w:val="00A35997"/>
    <w:rsid w:val="00A3647F"/>
    <w:rsid w:val="00A37214"/>
    <w:rsid w:val="00A405E2"/>
    <w:rsid w:val="00A41FFA"/>
    <w:rsid w:val="00A430CF"/>
    <w:rsid w:val="00A44258"/>
    <w:rsid w:val="00A45EDD"/>
    <w:rsid w:val="00A51FCD"/>
    <w:rsid w:val="00A5300C"/>
    <w:rsid w:val="00A53818"/>
    <w:rsid w:val="00A53C01"/>
    <w:rsid w:val="00A5404D"/>
    <w:rsid w:val="00A54920"/>
    <w:rsid w:val="00A57033"/>
    <w:rsid w:val="00A57074"/>
    <w:rsid w:val="00A60282"/>
    <w:rsid w:val="00A63A90"/>
    <w:rsid w:val="00A65DF1"/>
    <w:rsid w:val="00A664C7"/>
    <w:rsid w:val="00A677A0"/>
    <w:rsid w:val="00A71113"/>
    <w:rsid w:val="00A71280"/>
    <w:rsid w:val="00A7457A"/>
    <w:rsid w:val="00A74605"/>
    <w:rsid w:val="00A74ACA"/>
    <w:rsid w:val="00A74FEC"/>
    <w:rsid w:val="00A761A8"/>
    <w:rsid w:val="00A77D44"/>
    <w:rsid w:val="00A80A74"/>
    <w:rsid w:val="00A81991"/>
    <w:rsid w:val="00A83BCC"/>
    <w:rsid w:val="00A84AD5"/>
    <w:rsid w:val="00A86EC4"/>
    <w:rsid w:val="00A870AC"/>
    <w:rsid w:val="00A90378"/>
    <w:rsid w:val="00A91508"/>
    <w:rsid w:val="00A93876"/>
    <w:rsid w:val="00A94FCB"/>
    <w:rsid w:val="00A962B3"/>
    <w:rsid w:val="00A9689B"/>
    <w:rsid w:val="00A97052"/>
    <w:rsid w:val="00AA0BAB"/>
    <w:rsid w:val="00AA26BF"/>
    <w:rsid w:val="00AA2E71"/>
    <w:rsid w:val="00AA2E87"/>
    <w:rsid w:val="00AA58D4"/>
    <w:rsid w:val="00AA6FB2"/>
    <w:rsid w:val="00AA6FF9"/>
    <w:rsid w:val="00AA720C"/>
    <w:rsid w:val="00AB5549"/>
    <w:rsid w:val="00AB667D"/>
    <w:rsid w:val="00AC0CB3"/>
    <w:rsid w:val="00AC2883"/>
    <w:rsid w:val="00AC30E1"/>
    <w:rsid w:val="00AC607B"/>
    <w:rsid w:val="00AC6147"/>
    <w:rsid w:val="00AC6590"/>
    <w:rsid w:val="00AC6E89"/>
    <w:rsid w:val="00AC7A71"/>
    <w:rsid w:val="00AD00E1"/>
    <w:rsid w:val="00AD4107"/>
    <w:rsid w:val="00AD5365"/>
    <w:rsid w:val="00AD6D3E"/>
    <w:rsid w:val="00AE0D42"/>
    <w:rsid w:val="00AE36B4"/>
    <w:rsid w:val="00AE37DE"/>
    <w:rsid w:val="00AE4078"/>
    <w:rsid w:val="00AE431E"/>
    <w:rsid w:val="00AE5D98"/>
    <w:rsid w:val="00AE65F0"/>
    <w:rsid w:val="00AE6A30"/>
    <w:rsid w:val="00AF0E81"/>
    <w:rsid w:val="00AF26D1"/>
    <w:rsid w:val="00AF2708"/>
    <w:rsid w:val="00AF2D08"/>
    <w:rsid w:val="00AF38D4"/>
    <w:rsid w:val="00AF391C"/>
    <w:rsid w:val="00AF4AB4"/>
    <w:rsid w:val="00AF4C30"/>
    <w:rsid w:val="00AF4D17"/>
    <w:rsid w:val="00AF565E"/>
    <w:rsid w:val="00AF7050"/>
    <w:rsid w:val="00B01CBE"/>
    <w:rsid w:val="00B0376E"/>
    <w:rsid w:val="00B03DB0"/>
    <w:rsid w:val="00B04883"/>
    <w:rsid w:val="00B057BA"/>
    <w:rsid w:val="00B06CA8"/>
    <w:rsid w:val="00B10FDB"/>
    <w:rsid w:val="00B11D43"/>
    <w:rsid w:val="00B13BCE"/>
    <w:rsid w:val="00B1416F"/>
    <w:rsid w:val="00B15F03"/>
    <w:rsid w:val="00B24E1B"/>
    <w:rsid w:val="00B24F5A"/>
    <w:rsid w:val="00B25A23"/>
    <w:rsid w:val="00B30A8E"/>
    <w:rsid w:val="00B30C34"/>
    <w:rsid w:val="00B31E2C"/>
    <w:rsid w:val="00B33CBC"/>
    <w:rsid w:val="00B3618A"/>
    <w:rsid w:val="00B37D6F"/>
    <w:rsid w:val="00B41B18"/>
    <w:rsid w:val="00B436A9"/>
    <w:rsid w:val="00B44E38"/>
    <w:rsid w:val="00B46DE8"/>
    <w:rsid w:val="00B54925"/>
    <w:rsid w:val="00B54D40"/>
    <w:rsid w:val="00B54FCD"/>
    <w:rsid w:val="00B6071D"/>
    <w:rsid w:val="00B63099"/>
    <w:rsid w:val="00B630B9"/>
    <w:rsid w:val="00B63B1F"/>
    <w:rsid w:val="00B67A87"/>
    <w:rsid w:val="00B70518"/>
    <w:rsid w:val="00B712F5"/>
    <w:rsid w:val="00B71BEC"/>
    <w:rsid w:val="00B722C8"/>
    <w:rsid w:val="00B7279B"/>
    <w:rsid w:val="00B74ED3"/>
    <w:rsid w:val="00B80277"/>
    <w:rsid w:val="00B83D0A"/>
    <w:rsid w:val="00B83FA1"/>
    <w:rsid w:val="00B87155"/>
    <w:rsid w:val="00B91141"/>
    <w:rsid w:val="00B91F76"/>
    <w:rsid w:val="00B946E0"/>
    <w:rsid w:val="00B95158"/>
    <w:rsid w:val="00B965CE"/>
    <w:rsid w:val="00B96E72"/>
    <w:rsid w:val="00B976A5"/>
    <w:rsid w:val="00B97821"/>
    <w:rsid w:val="00B97D16"/>
    <w:rsid w:val="00BA0D81"/>
    <w:rsid w:val="00BA1029"/>
    <w:rsid w:val="00BA19A8"/>
    <w:rsid w:val="00BA2FE1"/>
    <w:rsid w:val="00BA311F"/>
    <w:rsid w:val="00BA3643"/>
    <w:rsid w:val="00BA4494"/>
    <w:rsid w:val="00BA4E91"/>
    <w:rsid w:val="00BA50C6"/>
    <w:rsid w:val="00BA5536"/>
    <w:rsid w:val="00BB2890"/>
    <w:rsid w:val="00BC1A38"/>
    <w:rsid w:val="00BC279F"/>
    <w:rsid w:val="00BC2971"/>
    <w:rsid w:val="00BC2D0C"/>
    <w:rsid w:val="00BC31A1"/>
    <w:rsid w:val="00BC5540"/>
    <w:rsid w:val="00BC641B"/>
    <w:rsid w:val="00BC6622"/>
    <w:rsid w:val="00BD1003"/>
    <w:rsid w:val="00BD1008"/>
    <w:rsid w:val="00BD4080"/>
    <w:rsid w:val="00BD5AA6"/>
    <w:rsid w:val="00BD7461"/>
    <w:rsid w:val="00BE1EA9"/>
    <w:rsid w:val="00BE2229"/>
    <w:rsid w:val="00BE454D"/>
    <w:rsid w:val="00BE4BE0"/>
    <w:rsid w:val="00BE5408"/>
    <w:rsid w:val="00BE6868"/>
    <w:rsid w:val="00BE7F1F"/>
    <w:rsid w:val="00BF10D1"/>
    <w:rsid w:val="00BF3EA0"/>
    <w:rsid w:val="00BF5B0D"/>
    <w:rsid w:val="00BF7A96"/>
    <w:rsid w:val="00C0031F"/>
    <w:rsid w:val="00C014A5"/>
    <w:rsid w:val="00C01D51"/>
    <w:rsid w:val="00C01E66"/>
    <w:rsid w:val="00C02261"/>
    <w:rsid w:val="00C02285"/>
    <w:rsid w:val="00C0323C"/>
    <w:rsid w:val="00C039C1"/>
    <w:rsid w:val="00C03F92"/>
    <w:rsid w:val="00C04607"/>
    <w:rsid w:val="00C04733"/>
    <w:rsid w:val="00C04B70"/>
    <w:rsid w:val="00C067FF"/>
    <w:rsid w:val="00C068FC"/>
    <w:rsid w:val="00C07336"/>
    <w:rsid w:val="00C10079"/>
    <w:rsid w:val="00C13AD4"/>
    <w:rsid w:val="00C14CD4"/>
    <w:rsid w:val="00C168A0"/>
    <w:rsid w:val="00C21723"/>
    <w:rsid w:val="00C27463"/>
    <w:rsid w:val="00C300A6"/>
    <w:rsid w:val="00C310FF"/>
    <w:rsid w:val="00C32BF6"/>
    <w:rsid w:val="00C33A0E"/>
    <w:rsid w:val="00C3468F"/>
    <w:rsid w:val="00C347B2"/>
    <w:rsid w:val="00C356FE"/>
    <w:rsid w:val="00C4064E"/>
    <w:rsid w:val="00C4113B"/>
    <w:rsid w:val="00C412F0"/>
    <w:rsid w:val="00C44A1C"/>
    <w:rsid w:val="00C45AF5"/>
    <w:rsid w:val="00C45BEB"/>
    <w:rsid w:val="00C46F11"/>
    <w:rsid w:val="00C50ED4"/>
    <w:rsid w:val="00C5106F"/>
    <w:rsid w:val="00C51B62"/>
    <w:rsid w:val="00C53911"/>
    <w:rsid w:val="00C53B7B"/>
    <w:rsid w:val="00C547AE"/>
    <w:rsid w:val="00C56B44"/>
    <w:rsid w:val="00C56F1D"/>
    <w:rsid w:val="00C57163"/>
    <w:rsid w:val="00C579ED"/>
    <w:rsid w:val="00C6135C"/>
    <w:rsid w:val="00C61A88"/>
    <w:rsid w:val="00C636A4"/>
    <w:rsid w:val="00C66AAD"/>
    <w:rsid w:val="00C66CC4"/>
    <w:rsid w:val="00C67E1B"/>
    <w:rsid w:val="00C703B3"/>
    <w:rsid w:val="00C71298"/>
    <w:rsid w:val="00C729F6"/>
    <w:rsid w:val="00C75177"/>
    <w:rsid w:val="00C7614D"/>
    <w:rsid w:val="00C779C3"/>
    <w:rsid w:val="00C77DC2"/>
    <w:rsid w:val="00C80482"/>
    <w:rsid w:val="00C81207"/>
    <w:rsid w:val="00C8164C"/>
    <w:rsid w:val="00C816DA"/>
    <w:rsid w:val="00C82D4F"/>
    <w:rsid w:val="00C82F7A"/>
    <w:rsid w:val="00C83FBA"/>
    <w:rsid w:val="00C84770"/>
    <w:rsid w:val="00C86EE8"/>
    <w:rsid w:val="00C87688"/>
    <w:rsid w:val="00C90BBB"/>
    <w:rsid w:val="00C9148B"/>
    <w:rsid w:val="00C91FA5"/>
    <w:rsid w:val="00C9251F"/>
    <w:rsid w:val="00C938D3"/>
    <w:rsid w:val="00C93D63"/>
    <w:rsid w:val="00C95260"/>
    <w:rsid w:val="00C9664A"/>
    <w:rsid w:val="00C96CF0"/>
    <w:rsid w:val="00CA296E"/>
    <w:rsid w:val="00CA3915"/>
    <w:rsid w:val="00CA40E6"/>
    <w:rsid w:val="00CA4B5C"/>
    <w:rsid w:val="00CA6354"/>
    <w:rsid w:val="00CA6B5B"/>
    <w:rsid w:val="00CA7306"/>
    <w:rsid w:val="00CB758F"/>
    <w:rsid w:val="00CC0EC0"/>
    <w:rsid w:val="00CC3C66"/>
    <w:rsid w:val="00CC49E5"/>
    <w:rsid w:val="00CC576C"/>
    <w:rsid w:val="00CD0421"/>
    <w:rsid w:val="00CD2F7F"/>
    <w:rsid w:val="00CD32F3"/>
    <w:rsid w:val="00CD4977"/>
    <w:rsid w:val="00CE4138"/>
    <w:rsid w:val="00CE45FE"/>
    <w:rsid w:val="00CE6060"/>
    <w:rsid w:val="00CE6FA7"/>
    <w:rsid w:val="00CF2A1F"/>
    <w:rsid w:val="00CF428A"/>
    <w:rsid w:val="00CF59D6"/>
    <w:rsid w:val="00CF5AF3"/>
    <w:rsid w:val="00CF60C3"/>
    <w:rsid w:val="00CF6312"/>
    <w:rsid w:val="00CF728D"/>
    <w:rsid w:val="00CF7D94"/>
    <w:rsid w:val="00D00E33"/>
    <w:rsid w:val="00D05519"/>
    <w:rsid w:val="00D058C3"/>
    <w:rsid w:val="00D11240"/>
    <w:rsid w:val="00D12314"/>
    <w:rsid w:val="00D130AE"/>
    <w:rsid w:val="00D14622"/>
    <w:rsid w:val="00D14DBF"/>
    <w:rsid w:val="00D16C01"/>
    <w:rsid w:val="00D174B2"/>
    <w:rsid w:val="00D2146B"/>
    <w:rsid w:val="00D24ABF"/>
    <w:rsid w:val="00D3088F"/>
    <w:rsid w:val="00D3443A"/>
    <w:rsid w:val="00D34CF6"/>
    <w:rsid w:val="00D355F5"/>
    <w:rsid w:val="00D36BBE"/>
    <w:rsid w:val="00D3792E"/>
    <w:rsid w:val="00D40048"/>
    <w:rsid w:val="00D400A8"/>
    <w:rsid w:val="00D41DFD"/>
    <w:rsid w:val="00D4308E"/>
    <w:rsid w:val="00D47C19"/>
    <w:rsid w:val="00D50667"/>
    <w:rsid w:val="00D50B7D"/>
    <w:rsid w:val="00D50D2B"/>
    <w:rsid w:val="00D50E60"/>
    <w:rsid w:val="00D52A7A"/>
    <w:rsid w:val="00D546BB"/>
    <w:rsid w:val="00D55D20"/>
    <w:rsid w:val="00D56131"/>
    <w:rsid w:val="00D5633A"/>
    <w:rsid w:val="00D56AA7"/>
    <w:rsid w:val="00D56DDD"/>
    <w:rsid w:val="00D57392"/>
    <w:rsid w:val="00D60613"/>
    <w:rsid w:val="00D62B7E"/>
    <w:rsid w:val="00D62E80"/>
    <w:rsid w:val="00D63432"/>
    <w:rsid w:val="00D6438E"/>
    <w:rsid w:val="00D645DB"/>
    <w:rsid w:val="00D66274"/>
    <w:rsid w:val="00D676B1"/>
    <w:rsid w:val="00D7080E"/>
    <w:rsid w:val="00D727A2"/>
    <w:rsid w:val="00D75F2F"/>
    <w:rsid w:val="00D77AB0"/>
    <w:rsid w:val="00D8036E"/>
    <w:rsid w:val="00D83900"/>
    <w:rsid w:val="00D840B5"/>
    <w:rsid w:val="00D8509D"/>
    <w:rsid w:val="00D901CA"/>
    <w:rsid w:val="00D90295"/>
    <w:rsid w:val="00D922D9"/>
    <w:rsid w:val="00D92A7A"/>
    <w:rsid w:val="00D93A2B"/>
    <w:rsid w:val="00D93D4B"/>
    <w:rsid w:val="00D943C9"/>
    <w:rsid w:val="00D9611E"/>
    <w:rsid w:val="00D96242"/>
    <w:rsid w:val="00D96A4A"/>
    <w:rsid w:val="00DA1CC7"/>
    <w:rsid w:val="00DA24A7"/>
    <w:rsid w:val="00DA2923"/>
    <w:rsid w:val="00DA3467"/>
    <w:rsid w:val="00DA39E6"/>
    <w:rsid w:val="00DA4D73"/>
    <w:rsid w:val="00DB0ECE"/>
    <w:rsid w:val="00DB133A"/>
    <w:rsid w:val="00DB13EA"/>
    <w:rsid w:val="00DB63C4"/>
    <w:rsid w:val="00DB671C"/>
    <w:rsid w:val="00DB7783"/>
    <w:rsid w:val="00DC1706"/>
    <w:rsid w:val="00DC3139"/>
    <w:rsid w:val="00DC3FDD"/>
    <w:rsid w:val="00DC3FED"/>
    <w:rsid w:val="00DC4758"/>
    <w:rsid w:val="00DC615D"/>
    <w:rsid w:val="00DC71D9"/>
    <w:rsid w:val="00DC7AD6"/>
    <w:rsid w:val="00DC7C81"/>
    <w:rsid w:val="00DC7DA7"/>
    <w:rsid w:val="00DD0ADB"/>
    <w:rsid w:val="00DD0E56"/>
    <w:rsid w:val="00DD235D"/>
    <w:rsid w:val="00DD4774"/>
    <w:rsid w:val="00DD4A67"/>
    <w:rsid w:val="00DD4D17"/>
    <w:rsid w:val="00DD4E68"/>
    <w:rsid w:val="00DD745F"/>
    <w:rsid w:val="00DD7544"/>
    <w:rsid w:val="00DE0792"/>
    <w:rsid w:val="00DE08DA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6B2A"/>
    <w:rsid w:val="00DF7C13"/>
    <w:rsid w:val="00E003B2"/>
    <w:rsid w:val="00E003FC"/>
    <w:rsid w:val="00E003FD"/>
    <w:rsid w:val="00E0331D"/>
    <w:rsid w:val="00E042AE"/>
    <w:rsid w:val="00E04A9E"/>
    <w:rsid w:val="00E04B91"/>
    <w:rsid w:val="00E05A2D"/>
    <w:rsid w:val="00E05D63"/>
    <w:rsid w:val="00E06C97"/>
    <w:rsid w:val="00E114F3"/>
    <w:rsid w:val="00E1287D"/>
    <w:rsid w:val="00E14702"/>
    <w:rsid w:val="00E14D1B"/>
    <w:rsid w:val="00E15653"/>
    <w:rsid w:val="00E15AB6"/>
    <w:rsid w:val="00E16652"/>
    <w:rsid w:val="00E17284"/>
    <w:rsid w:val="00E21D57"/>
    <w:rsid w:val="00E254E7"/>
    <w:rsid w:val="00E267C1"/>
    <w:rsid w:val="00E27759"/>
    <w:rsid w:val="00E30BCC"/>
    <w:rsid w:val="00E32039"/>
    <w:rsid w:val="00E33673"/>
    <w:rsid w:val="00E337EF"/>
    <w:rsid w:val="00E33D5A"/>
    <w:rsid w:val="00E344BA"/>
    <w:rsid w:val="00E34FFB"/>
    <w:rsid w:val="00E356B6"/>
    <w:rsid w:val="00E3729E"/>
    <w:rsid w:val="00E37FDC"/>
    <w:rsid w:val="00E426C0"/>
    <w:rsid w:val="00E42FA4"/>
    <w:rsid w:val="00E44199"/>
    <w:rsid w:val="00E44A77"/>
    <w:rsid w:val="00E479DF"/>
    <w:rsid w:val="00E47A8D"/>
    <w:rsid w:val="00E5295E"/>
    <w:rsid w:val="00E53845"/>
    <w:rsid w:val="00E55A60"/>
    <w:rsid w:val="00E6020E"/>
    <w:rsid w:val="00E61AC0"/>
    <w:rsid w:val="00E61B69"/>
    <w:rsid w:val="00E61B70"/>
    <w:rsid w:val="00E63435"/>
    <w:rsid w:val="00E659D1"/>
    <w:rsid w:val="00E65E29"/>
    <w:rsid w:val="00E6645B"/>
    <w:rsid w:val="00E71CC0"/>
    <w:rsid w:val="00E7266B"/>
    <w:rsid w:val="00E72D25"/>
    <w:rsid w:val="00E832A8"/>
    <w:rsid w:val="00E84B56"/>
    <w:rsid w:val="00E86144"/>
    <w:rsid w:val="00E861C3"/>
    <w:rsid w:val="00E87E0A"/>
    <w:rsid w:val="00E9137A"/>
    <w:rsid w:val="00E91F29"/>
    <w:rsid w:val="00E93820"/>
    <w:rsid w:val="00E94005"/>
    <w:rsid w:val="00E94417"/>
    <w:rsid w:val="00E974DB"/>
    <w:rsid w:val="00EA2B26"/>
    <w:rsid w:val="00EA3CCC"/>
    <w:rsid w:val="00EA4B59"/>
    <w:rsid w:val="00EA7D19"/>
    <w:rsid w:val="00EB151F"/>
    <w:rsid w:val="00EB1B03"/>
    <w:rsid w:val="00EB241A"/>
    <w:rsid w:val="00EB330E"/>
    <w:rsid w:val="00EB54AD"/>
    <w:rsid w:val="00EB78C0"/>
    <w:rsid w:val="00EC1285"/>
    <w:rsid w:val="00EC323F"/>
    <w:rsid w:val="00EC35DC"/>
    <w:rsid w:val="00EC43F1"/>
    <w:rsid w:val="00EC4C73"/>
    <w:rsid w:val="00EC5678"/>
    <w:rsid w:val="00EC66D7"/>
    <w:rsid w:val="00EC6EE1"/>
    <w:rsid w:val="00ED0A6D"/>
    <w:rsid w:val="00ED1EA0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3AD"/>
    <w:rsid w:val="00EE5952"/>
    <w:rsid w:val="00EE682F"/>
    <w:rsid w:val="00EE6B68"/>
    <w:rsid w:val="00EE726C"/>
    <w:rsid w:val="00EF1D18"/>
    <w:rsid w:val="00EF30F2"/>
    <w:rsid w:val="00EF45B1"/>
    <w:rsid w:val="00EF46B9"/>
    <w:rsid w:val="00EF6790"/>
    <w:rsid w:val="00F00874"/>
    <w:rsid w:val="00F00ABF"/>
    <w:rsid w:val="00F01017"/>
    <w:rsid w:val="00F0118E"/>
    <w:rsid w:val="00F01B21"/>
    <w:rsid w:val="00F02D35"/>
    <w:rsid w:val="00F0395D"/>
    <w:rsid w:val="00F052F7"/>
    <w:rsid w:val="00F054BF"/>
    <w:rsid w:val="00F0715C"/>
    <w:rsid w:val="00F101C3"/>
    <w:rsid w:val="00F10810"/>
    <w:rsid w:val="00F13C8A"/>
    <w:rsid w:val="00F143BC"/>
    <w:rsid w:val="00F1540D"/>
    <w:rsid w:val="00F1765E"/>
    <w:rsid w:val="00F1798C"/>
    <w:rsid w:val="00F2135C"/>
    <w:rsid w:val="00F222FF"/>
    <w:rsid w:val="00F252C8"/>
    <w:rsid w:val="00F27A2E"/>
    <w:rsid w:val="00F30956"/>
    <w:rsid w:val="00F3116F"/>
    <w:rsid w:val="00F32D9F"/>
    <w:rsid w:val="00F34016"/>
    <w:rsid w:val="00F3466D"/>
    <w:rsid w:val="00F35807"/>
    <w:rsid w:val="00F359CD"/>
    <w:rsid w:val="00F4160F"/>
    <w:rsid w:val="00F42354"/>
    <w:rsid w:val="00F425F1"/>
    <w:rsid w:val="00F426AF"/>
    <w:rsid w:val="00F42B77"/>
    <w:rsid w:val="00F466C8"/>
    <w:rsid w:val="00F47832"/>
    <w:rsid w:val="00F507D9"/>
    <w:rsid w:val="00F52D51"/>
    <w:rsid w:val="00F53BAF"/>
    <w:rsid w:val="00F54A25"/>
    <w:rsid w:val="00F55935"/>
    <w:rsid w:val="00F56CF2"/>
    <w:rsid w:val="00F6017B"/>
    <w:rsid w:val="00F6083B"/>
    <w:rsid w:val="00F611A6"/>
    <w:rsid w:val="00F611DB"/>
    <w:rsid w:val="00F62DAF"/>
    <w:rsid w:val="00F62DF8"/>
    <w:rsid w:val="00F637FD"/>
    <w:rsid w:val="00F6447D"/>
    <w:rsid w:val="00F653E4"/>
    <w:rsid w:val="00F70FEA"/>
    <w:rsid w:val="00F71ABD"/>
    <w:rsid w:val="00F728BA"/>
    <w:rsid w:val="00F729D4"/>
    <w:rsid w:val="00F74242"/>
    <w:rsid w:val="00F82461"/>
    <w:rsid w:val="00F86E1F"/>
    <w:rsid w:val="00F8799E"/>
    <w:rsid w:val="00F90857"/>
    <w:rsid w:val="00F91CD2"/>
    <w:rsid w:val="00F92CE8"/>
    <w:rsid w:val="00F93013"/>
    <w:rsid w:val="00F93839"/>
    <w:rsid w:val="00F93942"/>
    <w:rsid w:val="00F94017"/>
    <w:rsid w:val="00FA0A51"/>
    <w:rsid w:val="00FA12AD"/>
    <w:rsid w:val="00FA2DC2"/>
    <w:rsid w:val="00FA3034"/>
    <w:rsid w:val="00FA357B"/>
    <w:rsid w:val="00FA4D15"/>
    <w:rsid w:val="00FA4E60"/>
    <w:rsid w:val="00FA5558"/>
    <w:rsid w:val="00FA6116"/>
    <w:rsid w:val="00FA6663"/>
    <w:rsid w:val="00FB0127"/>
    <w:rsid w:val="00FB022C"/>
    <w:rsid w:val="00FB47A5"/>
    <w:rsid w:val="00FB6DBF"/>
    <w:rsid w:val="00FC3EC2"/>
    <w:rsid w:val="00FC5D9A"/>
    <w:rsid w:val="00FC7656"/>
    <w:rsid w:val="00FD0E06"/>
    <w:rsid w:val="00FD3213"/>
    <w:rsid w:val="00FD422B"/>
    <w:rsid w:val="00FD4B33"/>
    <w:rsid w:val="00FD6AD6"/>
    <w:rsid w:val="00FD7D97"/>
    <w:rsid w:val="00FE0B86"/>
    <w:rsid w:val="00FE30B0"/>
    <w:rsid w:val="00FE5E3F"/>
    <w:rsid w:val="00FE6947"/>
    <w:rsid w:val="00FE7550"/>
    <w:rsid w:val="00FE7997"/>
    <w:rsid w:val="00FF0973"/>
    <w:rsid w:val="00FF0F38"/>
    <w:rsid w:val="00FF1B9C"/>
    <w:rsid w:val="00FF3E0B"/>
    <w:rsid w:val="00FF4023"/>
    <w:rsid w:val="00FF421C"/>
    <w:rsid w:val="00FF530E"/>
    <w:rsid w:val="00FF53BE"/>
    <w:rsid w:val="00FF6D7C"/>
    <w:rsid w:val="00FF7CA6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47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7A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47A8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7A8D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uiPriority w:val="99"/>
    <w:rsid w:val="000E1685"/>
    <w:rPr>
      <w:rFonts w:cs="Times New Roman"/>
    </w:rPr>
  </w:style>
  <w:style w:type="paragraph" w:styleId="af1">
    <w:name w:val="Normal (Web)"/>
    <w:basedOn w:val="a"/>
    <w:uiPriority w:val="99"/>
    <w:rsid w:val="0041517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106990" TargetMode="External"/><Relationship Id="rId18" Type="http://schemas.openxmlformats.org/officeDocument/2006/relationships/hyperlink" Target="consultantplus://offline/ref=F5BA9EFBF07BB2763CD510189C11922ED434F43178F1EEACB41E2E4FD293D3E96291547765117A5943H8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285FE4B86B988078157AE8D0BA1D7AEC1584557D878D89269AB84ADEEB7C2011A1DAB2671C880A680B038A23F412B1825007D8D8AB2A69f8F" TargetMode="External"/><Relationship Id="rId17" Type="http://schemas.openxmlformats.org/officeDocument/2006/relationships/hyperlink" Target="consultantplus://offline/ref=F5BA9EFBF07BB2763CD510189C11922ED434F43178F1EEACB41E2E4FD293D3E96291547765117A5843H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BA9EFBF07BB2763CD510189C11922ED434F43178F1EEACB41E2E4FD293D3E96291547765117D5F43H9F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285FE4B86B988078157AE8D0BA1D7AEC1584557D878D89269AB84ADEEB7C2011A1DAB2671C880A680B038A23F412B1825007D8D8AB2A69f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BA9EFBF07BB2763CD510189C11922ED434F43178F1EEACB41E2E4FD293D3E96291547765117D5D43HD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921A391DB258D513348528D898321E0E8BF9843D7EBF0C54DC40652F938DA5882D7F0EE3DCB2B25FC592C655DE6ACB7D4D14C4E6B2FI4iFD" TargetMode="External"/><Relationship Id="rId19" Type="http://schemas.openxmlformats.org/officeDocument/2006/relationships/hyperlink" Target="consultantplus://offline/ref=F5BA9EFBF07BB2763CD510189C11922ED434F43178F1EEACB41E2E4FD293D3E96291547765117A5943H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21A391DB258D513348528D898321E0E8BF9843D7EBF0C54DC40652F938DA5882D7F0EE3DC82A25FC592C655DE6ACB7D4D14C4E6B2FI4iFD" TargetMode="External"/><Relationship Id="rId14" Type="http://schemas.openxmlformats.org/officeDocument/2006/relationships/hyperlink" Target="consultantplus://offline/ref=F5BA9EFBF07BB2763CD510189C11922ED434F43178F1EEACB41E2E4FD293D3E96291547765117D5C43H1F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024854732753785"/>
          <c:y val="0.19946808510638303"/>
          <c:w val="0.40847784200385362"/>
          <c:h val="0.75177304964539016"/>
        </c:manualLayout>
      </c:layout>
      <c:pie3DChart>
        <c:varyColors val="1"/>
        <c:ser>
          <c:idx val="0"/>
          <c:order val="0"/>
          <c:explosion val="25"/>
          <c:cat>
            <c:strRef>
              <c:f>'[ДИАГРАММЫ.xlsx]Лист1 (2)'!$A$2:$A$4</c:f>
              <c:strCache>
                <c:ptCount val="3"/>
                <c:pt idx="0">
                  <c:v>Налоговые доходы - 243 млн. рублей</c:v>
                </c:pt>
                <c:pt idx="1">
                  <c:v>Неналоговые доходы - 33 млн. рублей</c:v>
                </c:pt>
                <c:pt idx="2">
                  <c:v>Безвозмездные поступления 2174 млн. рублей</c:v>
                </c:pt>
              </c:strCache>
            </c:strRef>
          </c:cat>
          <c:val>
            <c:numRef>
              <c:f>'[ДИАГРАММЫ.xlsx]Лист1 (2)'!$B$2:$B$4</c:f>
              <c:numCache>
                <c:formatCode>General</c:formatCode>
                <c:ptCount val="3"/>
                <c:pt idx="0">
                  <c:v>243</c:v>
                </c:pt>
                <c:pt idx="1">
                  <c:v>33</c:v>
                </c:pt>
                <c:pt idx="2">
                  <c:v>2174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810760114695027"/>
          <c:y val="0.32860325697924136"/>
          <c:w val="0.31604515166721248"/>
          <c:h val="0.49858837546622464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0.03172</cdr:x>
      <cdr:y>0.03723</cdr:y>
    </cdr:from>
    <cdr:to>
      <cdr:x>0.98699</cdr:x>
      <cdr:y>0.28723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0975" y="129931"/>
          <a:ext cx="5450272" cy="872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800" b="1">
              <a:latin typeface="Times New Roman" pitchFamily="18" charset="0"/>
              <a:cs typeface="Times New Roman" pitchFamily="18" charset="0"/>
            </a:rPr>
            <a:t>Структура доходов местного бюджета за</a:t>
          </a:r>
          <a:r>
            <a:rPr lang="ru-RU" sz="1800" b="1" baseline="0">
              <a:latin typeface="Times New Roman" pitchFamily="18" charset="0"/>
              <a:cs typeface="Times New Roman" pitchFamily="18" charset="0"/>
            </a:rPr>
            <a:t> 2019 год     (2 450 млн. рублей)</a:t>
          </a:r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0.36334</cdr:x>
      <cdr:y>0.29359</cdr:y>
    </cdr:from>
    <cdr:to>
      <cdr:x>0.47166</cdr:x>
      <cdr:y>0.3845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73017" y="1024632"/>
          <a:ext cx="618017" cy="3172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10%</a:t>
          </a:r>
        </a:p>
      </cdr:txBody>
    </cdr:sp>
  </cdr:relSizeAnchor>
  <cdr:relSizeAnchor xmlns:cdr="http://schemas.openxmlformats.org/drawingml/2006/chartDrawing">
    <cdr:from>
      <cdr:x>0.26156</cdr:x>
      <cdr:y>0.64091</cdr:y>
    </cdr:from>
    <cdr:to>
      <cdr:x>0.36988</cdr:x>
      <cdr:y>0.73182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508760" y="2148840"/>
          <a:ext cx="62484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600" b="1"/>
            <a:t>89%</a:t>
          </a:r>
        </a:p>
      </cdr:txBody>
    </cdr:sp>
  </cdr:relSizeAnchor>
  <cdr:relSizeAnchor xmlns:cdr="http://schemas.openxmlformats.org/drawingml/2006/chartDrawing">
    <cdr:from>
      <cdr:x>0.45496</cdr:x>
      <cdr:y>0.28084</cdr:y>
    </cdr:from>
    <cdr:to>
      <cdr:x>0.56328</cdr:x>
      <cdr:y>0.37175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595784" y="980112"/>
          <a:ext cx="618017" cy="3172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600" b="1"/>
            <a:t>1%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2F3E-86B7-419C-BEBC-3B398066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18</Pages>
  <Words>8013</Words>
  <Characters>45680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147</cp:revision>
  <cp:lastPrinted>2021-03-18T02:50:00Z</cp:lastPrinted>
  <dcterms:created xsi:type="dcterms:W3CDTF">2019-05-21T08:23:00Z</dcterms:created>
  <dcterms:modified xsi:type="dcterms:W3CDTF">2021-03-18T08:20:00Z</dcterms:modified>
</cp:coreProperties>
</file>