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E5589D">
        <w:rPr>
          <w:b/>
        </w:rPr>
        <w:t xml:space="preserve"> </w:t>
      </w:r>
      <w:r w:rsidR="00434C1E">
        <w:t>15-</w:t>
      </w:r>
      <w:r w:rsidR="004A7078" w:rsidRPr="00A57033">
        <w:rPr>
          <w:b/>
        </w:rPr>
        <w:t>э</w:t>
      </w:r>
    </w:p>
    <w:p w:rsidR="00AC3189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</w:t>
      </w:r>
      <w:r w:rsidR="00AC3189">
        <w:rPr>
          <w:b/>
        </w:rPr>
        <w:t xml:space="preserve">тно-аналитического мероприятия </w:t>
      </w:r>
      <w:r w:rsidRPr="00A57033">
        <w:rPr>
          <w:b/>
        </w:rPr>
        <w:t xml:space="preserve">о </w:t>
      </w:r>
      <w:r w:rsidR="00AC3189">
        <w:rPr>
          <w:b/>
        </w:rPr>
        <w:t>ходе исполнения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 xml:space="preserve"> бюджета муниципального образования – «город Тулун»</w:t>
      </w:r>
    </w:p>
    <w:p w:rsidR="004A7078" w:rsidRPr="00A57033" w:rsidRDefault="00AC3189" w:rsidP="004A7078">
      <w:pPr>
        <w:jc w:val="center"/>
        <w:rPr>
          <w:b/>
          <w:i/>
        </w:rPr>
      </w:pPr>
      <w:r>
        <w:rPr>
          <w:b/>
        </w:rPr>
        <w:t>за 1 квартал</w:t>
      </w:r>
      <w:r w:rsidR="004A7078" w:rsidRPr="00A57033">
        <w:rPr>
          <w:b/>
        </w:rPr>
        <w:t xml:space="preserve"> 201</w:t>
      </w:r>
      <w:r>
        <w:rPr>
          <w:b/>
        </w:rPr>
        <w:t>9</w:t>
      </w:r>
      <w:r w:rsidR="004A7078"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C24348" w:rsidP="004A7078">
      <w:pPr>
        <w:jc w:val="both"/>
      </w:pPr>
      <w:r>
        <w:t>«</w:t>
      </w:r>
      <w:r w:rsidR="00051BBC">
        <w:t>22</w:t>
      </w:r>
      <w:bookmarkStart w:id="0" w:name="_GoBack"/>
      <w:bookmarkEnd w:id="0"/>
      <w:r>
        <w:t>»</w:t>
      </w:r>
      <w:r w:rsidR="00AC3189">
        <w:t xml:space="preserve">  мая</w:t>
      </w:r>
      <w:r w:rsidR="00B712F5">
        <w:t xml:space="preserve"> </w:t>
      </w:r>
      <w:r w:rsidR="00AC3189">
        <w:t>2019</w:t>
      </w:r>
      <w:r w:rsidR="004A7078" w:rsidRPr="00A57033">
        <w:t xml:space="preserve"> года     </w:t>
      </w:r>
      <w:r w:rsidR="00AC3189">
        <w:t xml:space="preserve">     </w:t>
      </w:r>
      <w:r w:rsidR="004A7078" w:rsidRPr="00A57033">
        <w:t xml:space="preserve">                           </w:t>
      </w:r>
      <w:r w:rsidR="00893F54">
        <w:t xml:space="preserve">             </w:t>
      </w:r>
      <w:r>
        <w:t xml:space="preserve">                         </w:t>
      </w:r>
      <w:r w:rsidR="004A7078" w:rsidRPr="00A57033">
        <w:t xml:space="preserve">    </w:t>
      </w:r>
      <w:r w:rsidR="00B712F5">
        <w:t xml:space="preserve">                        город</w:t>
      </w:r>
      <w:r w:rsidR="004A7078" w:rsidRPr="00A57033">
        <w:t xml:space="preserve"> Тулун</w:t>
      </w:r>
    </w:p>
    <w:p w:rsidR="004A7078" w:rsidRDefault="004A7078" w:rsidP="004A7078">
      <w:pPr>
        <w:jc w:val="both"/>
      </w:pPr>
    </w:p>
    <w:p w:rsidR="00241FB1" w:rsidRPr="00A57033" w:rsidRDefault="00241FB1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>Обследование достоверности, полноты и соответствия нормативным требованиям составления и представления отчета об</w:t>
      </w:r>
      <w:r w:rsidR="00DC7AD6">
        <w:t xml:space="preserve"> исполнении бюджета </w:t>
      </w:r>
      <w:r w:rsidR="00B01CBE">
        <w:t>муниципального образования – «город Тулун» з</w:t>
      </w:r>
      <w:r w:rsidR="005F3564">
        <w:t>а 1 квартал</w:t>
      </w:r>
      <w:r w:rsidRPr="00A57033">
        <w:t xml:space="preserve"> 201</w:t>
      </w:r>
      <w:r w:rsidR="005F3564">
        <w:t>9</w:t>
      </w:r>
      <w:r w:rsidR="000B6F7C">
        <w:t xml:space="preserve"> года проведено </w:t>
      </w:r>
      <w:r w:rsidRPr="00A57033">
        <w:t xml:space="preserve"> Контрольно-счетной палатой городского округа муниципального образования «город Тулун» (далее п</w:t>
      </w:r>
      <w:r w:rsidR="00DC7AD6">
        <w:t xml:space="preserve">о тексту – КСП </w:t>
      </w:r>
      <w:proofErr w:type="spellStart"/>
      <w:r w:rsidR="00DC7AD6">
        <w:t>г</w:t>
      </w:r>
      <w:proofErr w:type="gramStart"/>
      <w:r w:rsidR="00DC7AD6">
        <w:t>.Т</w:t>
      </w:r>
      <w:proofErr w:type="gramEnd"/>
      <w:r w:rsidR="00DC7AD6">
        <w:t>улуна</w:t>
      </w:r>
      <w:proofErr w:type="spellEnd"/>
      <w:r w:rsidRPr="00A57033">
        <w:t xml:space="preserve">) </w:t>
      </w:r>
      <w:r w:rsidR="000B6F7C">
        <w:t xml:space="preserve">        в соответствии со статьей</w:t>
      </w:r>
      <w:r w:rsidRPr="00A57033">
        <w:t xml:space="preserve"> 268.1 Бюджетного к</w:t>
      </w:r>
      <w:r w:rsidR="000B6F7C">
        <w:t>одекса Российской Федерации, статьей</w:t>
      </w:r>
      <w:r w:rsidRPr="00A57033">
        <w:t xml:space="preserve"> 9 Федерального закона № 6-ФЗ «Об общих принципах организации и деятельности контрольно-счетных органов субъектов Российской Федерации и муниципальн</w:t>
      </w:r>
      <w:r w:rsidR="00AB643E">
        <w:t>ых образований», Положением о К</w:t>
      </w:r>
      <w:r w:rsidRPr="00A57033">
        <w:t xml:space="preserve">онтрольно-счетной палате городского округа муниципального образования  «город Тулун», </w:t>
      </w:r>
      <w:r w:rsidR="00B01CBE">
        <w:t xml:space="preserve"> </w:t>
      </w:r>
      <w:r w:rsidRPr="00A57033">
        <w:t>утвержденным решением Думы городского округа от 18.12.2013 года № 34-ДГО</w:t>
      </w:r>
      <w:r w:rsidR="000B6F7C">
        <w:t>,</w:t>
      </w:r>
      <w:r w:rsidR="00DD181D" w:rsidRPr="00DD181D">
        <w:t xml:space="preserve"> </w:t>
      </w:r>
      <w:r w:rsidR="00DD181D">
        <w:t>Положением</w:t>
      </w:r>
      <w:r w:rsidR="00DD181D" w:rsidRPr="00DD181D">
        <w:t xml:space="preserve"> о бюджетном процессе в муниципальном образовании – «город Тулун»</w:t>
      </w:r>
      <w:r w:rsidR="00DD181D">
        <w:t>, утвержденным</w:t>
      </w:r>
      <w:r w:rsidR="00DD181D" w:rsidRPr="00DD181D">
        <w:t xml:space="preserve"> решением Думы городского </w:t>
      </w:r>
      <w:r w:rsidR="008F5870">
        <w:t>округа от 13.05.2013г. № 06-ДГО.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9758D4" w:rsidRDefault="009758D4" w:rsidP="009758D4">
      <w:pPr>
        <w:pStyle w:val="a3"/>
        <w:rPr>
          <w:b/>
        </w:rPr>
      </w:pPr>
    </w:p>
    <w:p w:rsidR="00BC2D0C" w:rsidRPr="009758D4" w:rsidRDefault="009758D4" w:rsidP="009758D4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В соответствие с пунктом </w:t>
      </w:r>
      <w:r w:rsidRPr="009758D4">
        <w:rPr>
          <w:color w:val="000000" w:themeColor="text1"/>
        </w:rPr>
        <w:t>1</w:t>
      </w:r>
      <w:r>
        <w:rPr>
          <w:color w:val="000000" w:themeColor="text1"/>
        </w:rPr>
        <w:t xml:space="preserve"> статьи </w:t>
      </w:r>
      <w:r w:rsidRPr="009758D4">
        <w:rPr>
          <w:color w:val="000000" w:themeColor="text1"/>
        </w:rPr>
        <w:t>268.1 Бюджетного кодекса Р</w:t>
      </w:r>
      <w:r>
        <w:rPr>
          <w:color w:val="000000" w:themeColor="text1"/>
        </w:rPr>
        <w:t xml:space="preserve">оссийской </w:t>
      </w:r>
      <w:r w:rsidRPr="009758D4">
        <w:rPr>
          <w:color w:val="000000" w:themeColor="text1"/>
        </w:rPr>
        <w:t>Ф</w:t>
      </w:r>
      <w:r>
        <w:rPr>
          <w:color w:val="000000" w:themeColor="text1"/>
        </w:rPr>
        <w:t xml:space="preserve">едерации </w:t>
      </w:r>
      <w:r w:rsidRPr="009758D4">
        <w:rPr>
          <w:color w:val="000000" w:themeColor="text1"/>
        </w:rPr>
        <w:t xml:space="preserve"> </w:t>
      </w:r>
      <w:r w:rsidRPr="009758D4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9758D4">
        <w:rPr>
          <w:color w:val="000000" w:themeColor="text1"/>
          <w:shd w:val="clear" w:color="auto" w:fill="FFFFFF"/>
        </w:rPr>
        <w:t xml:space="preserve">контроля </w:t>
      </w:r>
      <w:r>
        <w:rPr>
          <w:color w:val="000000" w:themeColor="text1"/>
          <w:shd w:val="clear" w:color="auto" w:fill="FFFFFF"/>
        </w:rPr>
        <w:t xml:space="preserve"> </w:t>
      </w:r>
      <w:r w:rsidRPr="009758D4">
        <w:rPr>
          <w:color w:val="000000" w:themeColor="text1"/>
          <w:shd w:val="clear" w:color="auto" w:fill="FFFFFF"/>
        </w:rPr>
        <w:t>за</w:t>
      </w:r>
      <w:proofErr w:type="gramEnd"/>
      <w:r w:rsidRPr="009758D4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0E1D89" w:rsidRDefault="00447779" w:rsidP="000E1D89">
      <w:pPr>
        <w:jc w:val="both"/>
        <w:rPr>
          <w:rFonts w:eastAsia="Calibri"/>
          <w:b/>
        </w:rPr>
      </w:pPr>
      <w:r>
        <w:t xml:space="preserve">           </w:t>
      </w:r>
      <w:r w:rsidR="00092AB2" w:rsidRPr="00A57033">
        <w:t>Бюджет муниципального образования – «город Тулун» на 201</w:t>
      </w:r>
      <w:r w:rsidR="00C220BD">
        <w:t>9 год</w:t>
      </w:r>
      <w:r w:rsidR="0078713A" w:rsidRPr="00A57033">
        <w:t xml:space="preserve"> </w:t>
      </w:r>
      <w:r w:rsidR="00092AB2" w:rsidRPr="00A57033">
        <w:t xml:space="preserve">утвержден решением Думы </w:t>
      </w:r>
      <w:r w:rsidR="0078713A" w:rsidRPr="00A57033">
        <w:t>городского округа</w:t>
      </w:r>
      <w:r w:rsidR="00092AB2" w:rsidRPr="00A57033">
        <w:t xml:space="preserve"> </w:t>
      </w:r>
      <w:r w:rsidR="00C220BD">
        <w:rPr>
          <w:rFonts w:eastAsia="Calibri"/>
        </w:rPr>
        <w:t>от 27.12.2018г. № 30-ДГО</w:t>
      </w:r>
      <w:r w:rsidR="000A515B" w:rsidRPr="000A515B">
        <w:rPr>
          <w:rFonts w:eastAsia="Calibri"/>
        </w:rPr>
        <w:t xml:space="preserve"> «О бюджете муниципального образования – «город Тулун»   на 2019 год и на пла</w:t>
      </w:r>
      <w:r w:rsidR="000E1D89">
        <w:rPr>
          <w:rFonts w:eastAsia="Calibri"/>
        </w:rPr>
        <w:t>новый период 2020 и 2021 годов»</w:t>
      </w:r>
      <w:r w:rsidR="00092AB2" w:rsidRPr="00A57033">
        <w:t xml:space="preserve"> (далее</w:t>
      </w:r>
      <w:r w:rsidR="008A586B">
        <w:t xml:space="preserve"> по тексту</w:t>
      </w:r>
      <w:r w:rsidR="00092AB2" w:rsidRPr="00A57033">
        <w:t xml:space="preserve"> – Решение о бюджете).</w:t>
      </w:r>
    </w:p>
    <w:p w:rsidR="00FF6D7C" w:rsidRPr="00A57033" w:rsidRDefault="008F5870" w:rsidP="00092AB2">
      <w:pPr>
        <w:pStyle w:val="a3"/>
        <w:ind w:left="0" w:firstLine="709"/>
        <w:jc w:val="both"/>
      </w:pPr>
      <w:r>
        <w:t xml:space="preserve">В соответствие с пунктом 5 статьи </w:t>
      </w:r>
      <w:r w:rsidR="00447779">
        <w:t>264.2 Бюджетного кодекса РФ о</w:t>
      </w:r>
      <w:r w:rsidR="00FF6D7C" w:rsidRPr="00A57033">
        <w:t xml:space="preserve">тчет об исполнении бюджета муниципального </w:t>
      </w:r>
      <w:r w:rsidR="000E1D89">
        <w:t xml:space="preserve">образования – «город Тулун» за 1 квартал </w:t>
      </w:r>
      <w:r w:rsidR="00FF6D7C" w:rsidRPr="00A57033">
        <w:t xml:space="preserve"> 201</w:t>
      </w:r>
      <w:r w:rsidR="000E1D89">
        <w:t>9</w:t>
      </w:r>
      <w:r w:rsidR="00FF6D7C">
        <w:t xml:space="preserve"> года направлен Администрацией городского округа в КСП </w:t>
      </w:r>
      <w:proofErr w:type="spellStart"/>
      <w:r w:rsidR="00FF6D7C">
        <w:t>г</w:t>
      </w:r>
      <w:proofErr w:type="gramStart"/>
      <w:r w:rsidR="00FF6D7C">
        <w:t>.</w:t>
      </w:r>
      <w:r w:rsidR="00FF6D7C" w:rsidRPr="00A57033">
        <w:t>Т</w:t>
      </w:r>
      <w:proofErr w:type="gramEnd"/>
      <w:r w:rsidR="00FF6D7C" w:rsidRPr="00A57033">
        <w:t>улу</w:t>
      </w:r>
      <w:r w:rsidR="000E1D89">
        <w:t>на</w:t>
      </w:r>
      <w:proofErr w:type="spellEnd"/>
      <w:r w:rsidR="000E1D89">
        <w:t xml:space="preserve"> 30 апреля 2019</w:t>
      </w:r>
      <w:r w:rsidR="00FF6D7C">
        <w:t xml:space="preserve"> года.</w:t>
      </w:r>
    </w:p>
    <w:p w:rsidR="008F5870" w:rsidRDefault="008F5870" w:rsidP="004A7078">
      <w:pPr>
        <w:pStyle w:val="a3"/>
        <w:ind w:left="0" w:firstLine="720"/>
        <w:jc w:val="both"/>
      </w:pPr>
      <w:r>
        <w:t xml:space="preserve">В соответствие с пунктом 5 статьи </w:t>
      </w:r>
      <w:r w:rsidR="00447779">
        <w:t>264.2 Бюджетного кодекса РФ о</w:t>
      </w:r>
      <w:r w:rsidR="004A7078" w:rsidRPr="00A57033">
        <w:t xml:space="preserve">тчет об исполнении бюджета муниципального </w:t>
      </w:r>
      <w:r w:rsidR="00B01CBE">
        <w:t xml:space="preserve">образования – «город Тулун» </w:t>
      </w:r>
      <w:r w:rsidR="000E1D89">
        <w:t xml:space="preserve">за 1 квартал </w:t>
      </w:r>
      <w:r w:rsidR="000E1D89" w:rsidRPr="00A57033">
        <w:t xml:space="preserve"> 201</w:t>
      </w:r>
      <w:r w:rsidR="000E1D89">
        <w:t xml:space="preserve">9 года </w:t>
      </w:r>
      <w:r w:rsidR="004D5ECD">
        <w:t xml:space="preserve">(далее – Отчет) </w:t>
      </w:r>
      <w:r w:rsidR="004A7078" w:rsidRPr="00A57033">
        <w:t xml:space="preserve"> утвержден постановлением Администрации городского округа от </w:t>
      </w:r>
      <w:r w:rsidR="000E1D89">
        <w:t>17.</w:t>
      </w:r>
      <w:r w:rsidR="00D92C4B">
        <w:t>0</w:t>
      </w:r>
      <w:r w:rsidR="000E1D89">
        <w:t>4</w:t>
      </w:r>
      <w:r w:rsidR="004A7078" w:rsidRPr="00A57033">
        <w:t>.201</w:t>
      </w:r>
      <w:r w:rsidR="000E1D89">
        <w:t>9</w:t>
      </w:r>
      <w:r w:rsidR="004A7078" w:rsidRPr="00A57033">
        <w:t xml:space="preserve">г. № </w:t>
      </w:r>
      <w:r w:rsidR="000E1D89">
        <w:t>6</w:t>
      </w:r>
      <w:r w:rsidR="00C75177">
        <w:t>08.</w:t>
      </w:r>
      <w:r w:rsidR="00C75177" w:rsidRPr="00C75177">
        <w:t xml:space="preserve"> </w:t>
      </w:r>
    </w:p>
    <w:p w:rsidR="004A7078" w:rsidRPr="00A57033" w:rsidRDefault="00C75177" w:rsidP="004A7078">
      <w:pPr>
        <w:pStyle w:val="a3"/>
        <w:ind w:left="0" w:firstLine="720"/>
        <w:jc w:val="both"/>
      </w:pPr>
      <w:r>
        <w:t xml:space="preserve">Отчет </w:t>
      </w:r>
      <w:r w:rsidR="000E1D89">
        <w:t xml:space="preserve">за 1 квартал </w:t>
      </w:r>
      <w:r w:rsidR="000E1D89" w:rsidRPr="00A57033">
        <w:t xml:space="preserve"> 201</w:t>
      </w:r>
      <w:r w:rsidR="000E1D89">
        <w:t>9 года</w:t>
      </w:r>
      <w:r>
        <w:t xml:space="preserve"> представлен Администрацией</w:t>
      </w:r>
      <w:r w:rsidRPr="00A57033">
        <w:t xml:space="preserve"> городского округа </w:t>
      </w:r>
      <w:r w:rsidR="000E1D89">
        <w:t xml:space="preserve"> </w:t>
      </w:r>
      <w:r>
        <w:t xml:space="preserve"> в составе следующих форм: 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1) Отчет об исполнении бюджета муниципального образования - «город Тул</w:t>
      </w:r>
      <w:r w:rsidR="00C75177">
        <w:t xml:space="preserve">ун» по доходам </w:t>
      </w:r>
      <w:r w:rsidR="000E1D89">
        <w:t xml:space="preserve">за 1 квартал </w:t>
      </w:r>
      <w:r w:rsidR="000E1D89" w:rsidRPr="00A57033">
        <w:t xml:space="preserve"> 201</w:t>
      </w:r>
      <w:r w:rsidR="000E1D89">
        <w:t xml:space="preserve">9 года </w:t>
      </w:r>
      <w:r w:rsidRPr="00A57033">
        <w:t xml:space="preserve"> (Приложение № 1);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2) Отчет об исполнении бюджета муниципального образования -</w:t>
      </w:r>
      <w:r w:rsidR="004D5ECD">
        <w:t xml:space="preserve"> «город Тулун» </w:t>
      </w:r>
      <w:r w:rsidR="000E1D89">
        <w:t xml:space="preserve">за 1 квартал </w:t>
      </w:r>
      <w:r w:rsidR="000E1D89" w:rsidRPr="00A57033">
        <w:t xml:space="preserve"> 201</w:t>
      </w:r>
      <w:r w:rsidR="000E1D89">
        <w:t>9 года</w:t>
      </w:r>
      <w:r w:rsidRPr="00A57033">
        <w:t xml:space="preserve"> по расходам (Приложение № 2);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lastRenderedPageBreak/>
        <w:t xml:space="preserve">3) Отчет об исполнении муниципальных программ города Тулуна и непрограммных направлений деятельности </w:t>
      </w:r>
      <w:r w:rsidR="000E1D89">
        <w:t xml:space="preserve">за 1 квартал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3);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4) Отчет об использовании бюджетных ассигнований резервного фонда администрации городского округа муниципального образования -</w:t>
      </w:r>
      <w:r w:rsidR="004D5ECD">
        <w:t xml:space="preserve"> «город Тулун» </w:t>
      </w:r>
      <w:r w:rsidR="000E1D89">
        <w:t>за</w:t>
      </w:r>
      <w:r w:rsidR="001250E2">
        <w:t xml:space="preserve">            </w:t>
      </w:r>
      <w:r w:rsidR="000E1D89">
        <w:t xml:space="preserve"> 1 квартал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4);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5) Отчет о состоянии муниципального долга муниципального образования - «город Тулун» по состоянию </w:t>
      </w:r>
      <w:r w:rsidR="000E1D89">
        <w:t xml:space="preserve">за 1 квартал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5);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6) Отчет об исполнении бюджета муниципального образования - «город Тулун» по источникам внутреннего финансирования дефицита бюджета </w:t>
      </w:r>
      <w:r w:rsidR="000E1D89">
        <w:t xml:space="preserve">за 1 квартал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6);</w:t>
      </w:r>
    </w:p>
    <w:p w:rsidR="004A7078" w:rsidRDefault="004A7078" w:rsidP="004A7078">
      <w:pPr>
        <w:pStyle w:val="a3"/>
        <w:ind w:left="0" w:firstLine="709"/>
        <w:jc w:val="both"/>
      </w:pPr>
      <w:r w:rsidRPr="00A57033">
        <w:t>7) Отчет об исполнении</w:t>
      </w:r>
      <w:r w:rsidR="001250E2">
        <w:t xml:space="preserve"> </w:t>
      </w:r>
      <w:r w:rsidRPr="00A57033">
        <w:t xml:space="preserve"> программы муниципальных внутренних заимствований </w:t>
      </w:r>
      <w:r w:rsidR="000E1D89">
        <w:t xml:space="preserve">за </w:t>
      </w:r>
      <w:r w:rsidR="001250E2">
        <w:t xml:space="preserve">  </w:t>
      </w:r>
      <w:r w:rsidR="000E1D89">
        <w:t xml:space="preserve">1 квартал </w:t>
      </w:r>
      <w:r w:rsidR="000E1D89" w:rsidRPr="00A57033">
        <w:t xml:space="preserve"> 201</w:t>
      </w:r>
      <w:r w:rsidR="000E1D89">
        <w:t>9 года</w:t>
      </w:r>
      <w:r w:rsidRPr="00A57033">
        <w:t xml:space="preserve"> (Приложение № 7).</w:t>
      </w:r>
    </w:p>
    <w:p w:rsidR="005567B7" w:rsidRPr="00A57033" w:rsidRDefault="005567B7" w:rsidP="004A7078">
      <w:pPr>
        <w:pStyle w:val="a3"/>
        <w:ind w:left="0" w:firstLine="709"/>
        <w:jc w:val="both"/>
      </w:pPr>
    </w:p>
    <w:p w:rsidR="00BC2D0C" w:rsidRDefault="0061547B" w:rsidP="006E2DC4">
      <w:pPr>
        <w:pStyle w:val="a3"/>
        <w:ind w:left="0" w:firstLine="720"/>
        <w:jc w:val="both"/>
      </w:pPr>
      <w:r>
        <w:t>Анализ исполнения</w:t>
      </w:r>
      <w:r w:rsidR="004F39DA">
        <w:t xml:space="preserve"> общих параметров местного бюджета</w:t>
      </w:r>
      <w:r w:rsidR="00DF6B2A">
        <w:t xml:space="preserve"> </w:t>
      </w:r>
      <w:r w:rsidR="00074EBA">
        <w:t xml:space="preserve">за 1 квартал </w:t>
      </w:r>
      <w:r w:rsidR="00074EBA" w:rsidRPr="00A57033">
        <w:t xml:space="preserve"> 201</w:t>
      </w:r>
      <w:r w:rsidR="00074EBA">
        <w:t>9 года</w:t>
      </w:r>
      <w:r w:rsidR="00466C7E">
        <w:t xml:space="preserve"> </w:t>
      </w:r>
      <w:r w:rsidR="00FA2DC2">
        <w:t xml:space="preserve"> приведен</w:t>
      </w:r>
      <w:r w:rsidR="00414EAF">
        <w:t xml:space="preserve"> в таблице № 1.</w:t>
      </w:r>
    </w:p>
    <w:p w:rsidR="004B1738" w:rsidRPr="00A57033" w:rsidRDefault="004B1738" w:rsidP="006E2DC4">
      <w:pPr>
        <w:pStyle w:val="a3"/>
        <w:ind w:left="0" w:firstLine="720"/>
        <w:jc w:val="both"/>
      </w:pPr>
    </w:p>
    <w:p w:rsidR="00BC2D0C" w:rsidRPr="004B1738" w:rsidRDefault="004B1738" w:rsidP="004B1738">
      <w:pPr>
        <w:pStyle w:val="a3"/>
        <w:ind w:left="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BC2D0C" w:rsidRPr="004B1738">
        <w:rPr>
          <w:b/>
          <w:sz w:val="20"/>
          <w:szCs w:val="20"/>
        </w:rPr>
        <w:t>Таблица № 1 (тыс. руб</w:t>
      </w:r>
      <w:r w:rsidR="001E53C6" w:rsidRPr="004B1738">
        <w:rPr>
          <w:b/>
          <w:sz w:val="20"/>
          <w:szCs w:val="20"/>
        </w:rPr>
        <w:t>.</w:t>
      </w:r>
      <w:r w:rsidRPr="004B1738">
        <w:rPr>
          <w:b/>
          <w:sz w:val="20"/>
          <w:szCs w:val="20"/>
        </w:rPr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693"/>
        <w:gridCol w:w="2126"/>
        <w:gridCol w:w="1618"/>
      </w:tblGrid>
      <w:tr w:rsidR="00BC2D0C" w:rsidRPr="00A57033" w:rsidTr="004B1738">
        <w:tc>
          <w:tcPr>
            <w:tcW w:w="3119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:rsidR="008E43AD" w:rsidRPr="00F93013" w:rsidRDefault="00BC2D0C" w:rsidP="008E43AD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F93013">
              <w:rPr>
                <w:sz w:val="18"/>
                <w:szCs w:val="18"/>
                <w:lang w:eastAsia="en-US"/>
              </w:rPr>
              <w:t>Утвержденные назначения</w:t>
            </w:r>
            <w:r w:rsidR="00092AB2" w:rsidRPr="00F93013">
              <w:rPr>
                <w:sz w:val="18"/>
                <w:szCs w:val="18"/>
                <w:lang w:eastAsia="en-US"/>
              </w:rPr>
              <w:t xml:space="preserve"> </w:t>
            </w:r>
          </w:p>
          <w:p w:rsidR="00BC2D0C" w:rsidRPr="00F93013" w:rsidRDefault="005563AA" w:rsidP="00797D6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  <w:lang w:eastAsia="en-US"/>
              </w:rPr>
              <w:t xml:space="preserve">(с учетом </w:t>
            </w:r>
            <w:r w:rsidR="00074EBA">
              <w:rPr>
                <w:sz w:val="18"/>
                <w:szCs w:val="18"/>
                <w:lang w:eastAsia="en-US"/>
              </w:rPr>
              <w:t xml:space="preserve"> внесенных изменений на 01.04.2019</w:t>
            </w:r>
            <w:r w:rsidR="00797D60" w:rsidRPr="00F93013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2126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Фактическое исполнение</w:t>
            </w:r>
            <w:r w:rsidR="00D75F2F" w:rsidRPr="00F930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</w:tcPr>
          <w:p w:rsidR="00BC2D0C" w:rsidRPr="00F93013" w:rsidRDefault="003371F3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% исполнения</w:t>
            </w:r>
            <w:r w:rsidR="00BC2D0C" w:rsidRPr="00F93013">
              <w:rPr>
                <w:sz w:val="18"/>
                <w:szCs w:val="18"/>
              </w:rPr>
              <w:t xml:space="preserve"> </w:t>
            </w:r>
          </w:p>
        </w:tc>
      </w:tr>
      <w:tr w:rsidR="00BC2D0C" w:rsidRPr="00A57033" w:rsidTr="004B1738">
        <w:trPr>
          <w:trHeight w:val="476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074EB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1 068 239,7</w:t>
            </w:r>
          </w:p>
        </w:tc>
        <w:tc>
          <w:tcPr>
            <w:tcW w:w="2126" w:type="dxa"/>
          </w:tcPr>
          <w:p w:rsidR="00BC2D0C" w:rsidRPr="00A57033" w:rsidRDefault="00074EB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224 651,5</w:t>
            </w:r>
          </w:p>
        </w:tc>
        <w:tc>
          <w:tcPr>
            <w:tcW w:w="1618" w:type="dxa"/>
          </w:tcPr>
          <w:p w:rsidR="00BC2D0C" w:rsidRPr="00A57033" w:rsidRDefault="00074EBA" w:rsidP="00074E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21,03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074EBA" w:rsidP="00797D6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1 090 261,7</w:t>
            </w:r>
          </w:p>
        </w:tc>
        <w:tc>
          <w:tcPr>
            <w:tcW w:w="2126" w:type="dxa"/>
          </w:tcPr>
          <w:p w:rsidR="00BC2D0C" w:rsidRPr="00A57033" w:rsidRDefault="00074EB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214 136,4</w:t>
            </w:r>
          </w:p>
        </w:tc>
        <w:tc>
          <w:tcPr>
            <w:tcW w:w="1618" w:type="dxa"/>
          </w:tcPr>
          <w:p w:rsidR="00BC2D0C" w:rsidRPr="00A57033" w:rsidRDefault="00074EB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19,64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BC2D0C" w:rsidRPr="00A57033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22 022,0</w:t>
            </w:r>
          </w:p>
        </w:tc>
        <w:tc>
          <w:tcPr>
            <w:tcW w:w="2126" w:type="dxa"/>
          </w:tcPr>
          <w:p w:rsidR="002E373E" w:rsidRPr="00A57033" w:rsidRDefault="00A102A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+</w:t>
            </w:r>
            <w:r w:rsidR="006F3B18">
              <w:rPr>
                <w:sz w:val="22"/>
                <w:szCs w:val="22"/>
              </w:rPr>
              <w:t>1</w:t>
            </w:r>
            <w:r w:rsidR="00EA5CAA">
              <w:rPr>
                <w:sz w:val="22"/>
                <w:szCs w:val="22"/>
              </w:rPr>
              <w:t>0 515,1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</w:tcPr>
          <w:p w:rsidR="00BC2D0C" w:rsidRPr="00102B50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126" w:type="dxa"/>
          </w:tcPr>
          <w:p w:rsidR="00BC2D0C" w:rsidRPr="00A57033" w:rsidRDefault="00A102A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102B50">
              <w:rPr>
                <w:sz w:val="22"/>
                <w:szCs w:val="22"/>
              </w:rPr>
              <w:t>,0</w:t>
            </w:r>
          </w:p>
        </w:tc>
        <w:tc>
          <w:tcPr>
            <w:tcW w:w="2126" w:type="dxa"/>
          </w:tcPr>
          <w:p w:rsidR="00BC2D0C" w:rsidRPr="00A57033" w:rsidRDefault="00C7614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  <w:tc>
          <w:tcPr>
            <w:tcW w:w="1618" w:type="dxa"/>
          </w:tcPr>
          <w:p w:rsidR="00BC2D0C" w:rsidRPr="00A57033" w:rsidRDefault="007A665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BC2D0C" w:rsidRPr="00102B50" w:rsidRDefault="00921741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5563AA">
              <w:rPr>
                <w:sz w:val="22"/>
                <w:szCs w:val="22"/>
              </w:rPr>
              <w:t>0,0</w:t>
            </w:r>
            <w:r w:rsidR="00EA5CA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BC2D0C" w:rsidRPr="00A57033" w:rsidRDefault="00C7614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rPr>
          <w:trHeight w:val="369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BC2D0C" w:rsidRPr="00A57033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979 548,9</w:t>
            </w:r>
          </w:p>
        </w:tc>
        <w:tc>
          <w:tcPr>
            <w:tcW w:w="2126" w:type="dxa"/>
          </w:tcPr>
          <w:p w:rsidR="00BC2D0C" w:rsidRPr="00A57033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189 206,7</w:t>
            </w:r>
          </w:p>
        </w:tc>
        <w:tc>
          <w:tcPr>
            <w:tcW w:w="1618" w:type="dxa"/>
          </w:tcPr>
          <w:p w:rsidR="00BC2D0C" w:rsidRPr="00A57033" w:rsidRDefault="00787658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19,32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BC2D0C" w:rsidRPr="00A57033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2126" w:type="dxa"/>
          </w:tcPr>
          <w:p w:rsidR="00BC2D0C" w:rsidRPr="00A57033" w:rsidRDefault="00EA5C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</w:tbl>
    <w:p w:rsidR="00BC2D0C" w:rsidRDefault="00BC2D0C" w:rsidP="00406782">
      <w:pPr>
        <w:pStyle w:val="a3"/>
        <w:jc w:val="both"/>
      </w:pPr>
    </w:p>
    <w:p w:rsidR="00241FB1" w:rsidRPr="00A57033" w:rsidRDefault="00241FB1" w:rsidP="00406782">
      <w:pPr>
        <w:pStyle w:val="a3"/>
        <w:jc w:val="both"/>
      </w:pPr>
    </w:p>
    <w:p w:rsidR="007309B5" w:rsidRPr="000804C1" w:rsidRDefault="008B70F7" w:rsidP="0087599B">
      <w:pPr>
        <w:pStyle w:val="a3"/>
        <w:ind w:left="0" w:firstLine="720"/>
        <w:jc w:val="both"/>
      </w:pPr>
      <w:r w:rsidRPr="000804C1">
        <w:t>И</w:t>
      </w:r>
      <w:r w:rsidR="00BC2D0C" w:rsidRPr="000804C1">
        <w:t>з таблицы</w:t>
      </w:r>
      <w:r w:rsidR="007C0477" w:rsidRPr="000804C1">
        <w:t xml:space="preserve"> № 1</w:t>
      </w:r>
      <w:r w:rsidRPr="000804C1">
        <w:t xml:space="preserve"> видно, что</w:t>
      </w:r>
      <w:r w:rsidR="00BC2D0C" w:rsidRPr="000804C1">
        <w:t xml:space="preserve"> на 01.</w:t>
      </w:r>
      <w:r w:rsidR="00555249">
        <w:t>04</w:t>
      </w:r>
      <w:r w:rsidR="00BC2D0C" w:rsidRPr="000804C1">
        <w:t>.201</w:t>
      </w:r>
      <w:r w:rsidR="00555249">
        <w:t>9</w:t>
      </w:r>
      <w:r w:rsidR="00BC2D0C" w:rsidRPr="000804C1">
        <w:t xml:space="preserve">г. </w:t>
      </w:r>
      <w:r w:rsidR="007A6654" w:rsidRPr="000804C1">
        <w:t xml:space="preserve">местный </w:t>
      </w:r>
      <w:r w:rsidR="00BC2D0C" w:rsidRPr="000804C1">
        <w:t>бюджет исполнен</w:t>
      </w:r>
      <w:r w:rsidR="008245CE" w:rsidRPr="000804C1">
        <w:t xml:space="preserve"> </w:t>
      </w:r>
      <w:r w:rsidR="003A449C" w:rsidRPr="000804C1">
        <w:t xml:space="preserve"> </w:t>
      </w:r>
      <w:r w:rsidR="00BC2D0C" w:rsidRPr="000804C1">
        <w:t xml:space="preserve">с профицитом в размере </w:t>
      </w:r>
      <w:r w:rsidR="00555249">
        <w:t>10 515,1</w:t>
      </w:r>
      <w:r w:rsidRPr="000804C1">
        <w:t xml:space="preserve"> </w:t>
      </w:r>
      <w:r w:rsidR="00BC2D0C" w:rsidRPr="000804C1">
        <w:t>тыс. руб.</w:t>
      </w:r>
      <w:r w:rsidR="007309B5" w:rsidRPr="000804C1">
        <w:t xml:space="preserve"> (</w:t>
      </w:r>
      <w:r w:rsidR="00372EBC" w:rsidRPr="000804C1">
        <w:t>при этом,</w:t>
      </w:r>
      <w:r w:rsidR="00BC2D0C" w:rsidRPr="000804C1">
        <w:t xml:space="preserve"> </w:t>
      </w:r>
      <w:r w:rsidR="003A449C" w:rsidRPr="000804C1">
        <w:t xml:space="preserve">бюджет </w:t>
      </w:r>
      <w:r w:rsidR="008245CE" w:rsidRPr="000804C1">
        <w:t xml:space="preserve"> </w:t>
      </w:r>
      <w:r w:rsidR="00BC2D0C" w:rsidRPr="000804C1">
        <w:t>на 201</w:t>
      </w:r>
      <w:r w:rsidR="00555249">
        <w:t>9</w:t>
      </w:r>
      <w:r w:rsidR="00372EBC" w:rsidRPr="000804C1">
        <w:t xml:space="preserve"> год</w:t>
      </w:r>
      <w:r w:rsidR="00BC2D0C" w:rsidRPr="000804C1">
        <w:t xml:space="preserve"> </w:t>
      </w:r>
      <w:r w:rsidR="00D400A8" w:rsidRPr="000804C1">
        <w:t xml:space="preserve">с изменениями </w:t>
      </w:r>
      <w:r w:rsidR="00BC2D0C" w:rsidRPr="000804C1">
        <w:t xml:space="preserve">утвержден </w:t>
      </w:r>
      <w:r w:rsidR="003A449C" w:rsidRPr="000804C1">
        <w:t xml:space="preserve">с </w:t>
      </w:r>
      <w:r w:rsidR="008245CE" w:rsidRPr="000804C1">
        <w:t>дефицит</w:t>
      </w:r>
      <w:r w:rsidR="003A449C" w:rsidRPr="000804C1">
        <w:t>ом</w:t>
      </w:r>
      <w:r w:rsidR="008245CE" w:rsidRPr="000804C1">
        <w:t xml:space="preserve"> </w:t>
      </w:r>
      <w:r w:rsidR="00BC2D0C" w:rsidRPr="000804C1">
        <w:t xml:space="preserve">в размере </w:t>
      </w:r>
      <w:r w:rsidR="00555249">
        <w:t>22 022,0</w:t>
      </w:r>
      <w:r w:rsidR="003A449C" w:rsidRPr="000804C1">
        <w:t xml:space="preserve">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BC2D0C" w:rsidRPr="000804C1">
        <w:t>.</w:t>
      </w:r>
      <w:r w:rsidR="00372EBC" w:rsidRPr="000804C1">
        <w:t>)</w:t>
      </w:r>
      <w:r w:rsidR="007A6654" w:rsidRPr="000804C1">
        <w:t xml:space="preserve"> </w:t>
      </w:r>
      <w:r w:rsidR="00CD4977" w:rsidRPr="000804C1">
        <w:t xml:space="preserve"> </w:t>
      </w:r>
      <w:r w:rsidR="007A6654" w:rsidRPr="000804C1">
        <w:t xml:space="preserve">Доходы исполнены на сумму </w:t>
      </w:r>
      <w:r w:rsidR="00555249" w:rsidRPr="00555249">
        <w:t>224 651,5</w:t>
      </w:r>
      <w:r w:rsidR="00555249">
        <w:t xml:space="preserve"> тыс. руб. или на 21,03</w:t>
      </w:r>
      <w:r w:rsidR="00F91CD2" w:rsidRPr="000804C1">
        <w:t xml:space="preserve"> </w:t>
      </w:r>
      <w:r w:rsidR="007A6654" w:rsidRPr="000804C1">
        <w:t>% от утвержденного объема назначений.</w:t>
      </w:r>
      <w:r w:rsidR="00272280" w:rsidRPr="000804C1">
        <w:t xml:space="preserve"> </w:t>
      </w:r>
      <w:r w:rsidR="00D400A8" w:rsidRPr="000804C1">
        <w:t xml:space="preserve">Расходы исполнены на сумму </w:t>
      </w:r>
      <w:r w:rsidR="00555249" w:rsidRPr="00555249">
        <w:t>214 136,4</w:t>
      </w:r>
      <w:r w:rsidR="00555249">
        <w:t xml:space="preserve"> тыс. руб. или на 19,64</w:t>
      </w:r>
      <w:r w:rsidR="00D400A8" w:rsidRPr="000804C1">
        <w:t xml:space="preserve"> % от утвержденного объема назначений. Исполнение  программ</w:t>
      </w:r>
      <w:r w:rsidR="00555249">
        <w:t>ных расходов составило 189 206,7 тыс. руб. или 19,32</w:t>
      </w:r>
      <w:r w:rsidR="00CF5AF3" w:rsidRPr="000804C1">
        <w:t xml:space="preserve">% от утвержденных назначений, что составляет </w:t>
      </w:r>
      <w:r w:rsidR="00555249">
        <w:t>88,4</w:t>
      </w:r>
      <w:r w:rsidR="00725D99" w:rsidRPr="000804C1">
        <w:t xml:space="preserve"> </w:t>
      </w:r>
      <w:r w:rsidR="00CF5AF3" w:rsidRPr="000804C1">
        <w:t>% от общей суммы расходов</w:t>
      </w:r>
      <w:r w:rsidR="00372EBC" w:rsidRPr="000804C1">
        <w:t xml:space="preserve"> местного бюджета</w:t>
      </w:r>
      <w:r w:rsidR="00272280" w:rsidRPr="000804C1">
        <w:t>.</w:t>
      </w:r>
    </w:p>
    <w:p w:rsidR="00557164" w:rsidRPr="00725D99" w:rsidRDefault="00557164" w:rsidP="0087599B">
      <w:pPr>
        <w:pStyle w:val="a3"/>
        <w:ind w:left="0" w:firstLine="720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6D4256" w:rsidRPr="000804C1" w:rsidRDefault="00BC2D0C" w:rsidP="008812D6">
      <w:pPr>
        <w:ind w:right="-142" w:firstLine="540"/>
        <w:jc w:val="both"/>
      </w:pPr>
      <w:proofErr w:type="gramStart"/>
      <w:r w:rsidRPr="000804C1">
        <w:t xml:space="preserve">Согласно </w:t>
      </w:r>
      <w:r w:rsidR="005567B7">
        <w:t xml:space="preserve"> </w:t>
      </w:r>
      <w:r w:rsidR="004A2347">
        <w:t>Решения</w:t>
      </w:r>
      <w:r w:rsidR="00065639" w:rsidRPr="000804C1">
        <w:t xml:space="preserve"> о</w:t>
      </w:r>
      <w:r w:rsidR="005563AA" w:rsidRPr="000804C1">
        <w:t xml:space="preserve"> бюджете муниципального обр</w:t>
      </w:r>
      <w:r w:rsidR="004A2347">
        <w:t xml:space="preserve">азования – «город Тулун», </w:t>
      </w:r>
      <w:r w:rsidR="00F52D51" w:rsidRPr="000804C1">
        <w:t xml:space="preserve"> </w:t>
      </w:r>
      <w:r w:rsidR="00725884">
        <w:t xml:space="preserve"> </w:t>
      </w:r>
      <w:r w:rsidR="004A2347" w:rsidRPr="00A57033">
        <w:t>утвержден</w:t>
      </w:r>
      <w:r w:rsidR="004A2347">
        <w:t xml:space="preserve">ного </w:t>
      </w:r>
      <w:r w:rsidR="004A2347" w:rsidRPr="00A57033">
        <w:t xml:space="preserve"> </w:t>
      </w:r>
      <w:r w:rsidR="004A2347">
        <w:t>решением Думы городского округа</w:t>
      </w:r>
      <w:r w:rsidR="00725884">
        <w:t xml:space="preserve"> от 27.12.2018 № 30</w:t>
      </w:r>
      <w:r w:rsidR="004A2347">
        <w:t>-ДГО,</w:t>
      </w:r>
      <w:r w:rsidR="00CF5AF3" w:rsidRPr="000804C1">
        <w:t xml:space="preserve"> </w:t>
      </w:r>
      <w:r w:rsidRPr="000804C1">
        <w:t xml:space="preserve"> общий объем доходов местного бюджета на 201</w:t>
      </w:r>
      <w:r w:rsidR="00725884">
        <w:t>9</w:t>
      </w:r>
      <w:r w:rsidRPr="000804C1">
        <w:t xml:space="preserve"> год утвержден в сумме </w:t>
      </w:r>
      <w:r w:rsidR="00725884">
        <w:t>921 498,4</w:t>
      </w:r>
      <w:r w:rsidR="00CF5AF3" w:rsidRPr="000804C1">
        <w:t xml:space="preserve"> </w:t>
      </w:r>
      <w:r w:rsidRPr="000804C1">
        <w:t>тыс.</w:t>
      </w:r>
      <w:r w:rsidR="00CF5AF3" w:rsidRPr="000804C1">
        <w:t xml:space="preserve"> </w:t>
      </w:r>
      <w:r w:rsidRPr="000804C1">
        <w:t>руб</w:t>
      </w:r>
      <w:r w:rsidR="00F52D51" w:rsidRPr="000804C1">
        <w:t>.</w:t>
      </w:r>
      <w:r w:rsidRPr="000804C1">
        <w:t>,  из них</w:t>
      </w:r>
      <w:r w:rsidR="00CF5AF3" w:rsidRPr="000804C1">
        <w:t xml:space="preserve"> </w:t>
      </w:r>
      <w:r w:rsidR="008812D6" w:rsidRPr="000804C1">
        <w:t>объем межбюджетных трансфертов, получаемых из других бюджетов бюджетной системы Российской Федерации</w:t>
      </w:r>
      <w:r w:rsidR="00725884">
        <w:t xml:space="preserve"> составил 627859,3 </w:t>
      </w:r>
      <w:r w:rsidRPr="000804C1">
        <w:t>тыс.</w:t>
      </w:r>
      <w:r w:rsidR="00CF5AF3" w:rsidRPr="000804C1">
        <w:t xml:space="preserve"> </w:t>
      </w:r>
      <w:r w:rsidRPr="000804C1">
        <w:t>руб.</w:t>
      </w:r>
      <w:r w:rsidR="00950F74" w:rsidRPr="000804C1">
        <w:t xml:space="preserve"> В связи с увеличением</w:t>
      </w:r>
      <w:r w:rsidR="005563AA" w:rsidRPr="000804C1">
        <w:t xml:space="preserve"> объема </w:t>
      </w:r>
      <w:r w:rsidR="005563AA" w:rsidRPr="000804C1">
        <w:lastRenderedPageBreak/>
        <w:t xml:space="preserve">межбюджетных </w:t>
      </w:r>
      <w:r w:rsidR="00725884">
        <w:t>трансфертов</w:t>
      </w:r>
      <w:r w:rsidR="000E217C">
        <w:t xml:space="preserve"> из областного бюджета</w:t>
      </w:r>
      <w:r w:rsidR="005567B7">
        <w:t>,</w:t>
      </w:r>
      <w:r w:rsidR="00326931" w:rsidRPr="000804C1">
        <w:t xml:space="preserve">  плановый объем</w:t>
      </w:r>
      <w:proofErr w:type="gramEnd"/>
      <w:r w:rsidR="00D24ABF" w:rsidRPr="000804C1">
        <w:t xml:space="preserve"> </w:t>
      </w:r>
      <w:r w:rsidR="00C201AB">
        <w:t xml:space="preserve"> </w:t>
      </w:r>
      <w:r w:rsidR="00D24ABF" w:rsidRPr="000804C1">
        <w:t>доходов на</w:t>
      </w:r>
      <w:r w:rsidR="00725884">
        <w:t xml:space="preserve"> 2019</w:t>
      </w:r>
      <w:r w:rsidR="00950F74" w:rsidRPr="000804C1">
        <w:t xml:space="preserve"> год </w:t>
      </w:r>
      <w:r w:rsidR="00725884">
        <w:t>по состоянию на 01.04</w:t>
      </w:r>
      <w:r w:rsidR="00D24ABF" w:rsidRPr="000804C1">
        <w:t>.</w:t>
      </w:r>
      <w:r w:rsidR="00725884">
        <w:t>2019</w:t>
      </w:r>
      <w:r w:rsidR="00D24ABF" w:rsidRPr="000804C1">
        <w:t xml:space="preserve">г. </w:t>
      </w:r>
      <w:r w:rsidR="00950F74" w:rsidRPr="000804C1">
        <w:t xml:space="preserve">составил </w:t>
      </w:r>
      <w:r w:rsidR="00725884">
        <w:t>1 068 239,7</w:t>
      </w:r>
      <w:r w:rsidR="00306FC4" w:rsidRPr="000804C1">
        <w:t xml:space="preserve"> </w:t>
      </w:r>
      <w:proofErr w:type="spellStart"/>
      <w:r w:rsidR="00306FC4" w:rsidRPr="000804C1">
        <w:t>тыс</w:t>
      </w:r>
      <w:proofErr w:type="gramStart"/>
      <w:r w:rsidR="00306FC4" w:rsidRPr="000804C1">
        <w:t>.р</w:t>
      </w:r>
      <w:proofErr w:type="gramEnd"/>
      <w:r w:rsidR="00306FC4" w:rsidRPr="000804C1">
        <w:t>уб</w:t>
      </w:r>
      <w:proofErr w:type="spellEnd"/>
      <w:r w:rsidR="00306FC4" w:rsidRPr="000804C1">
        <w:t xml:space="preserve">., в том числе плановый объем межбюджетных трансфертов </w:t>
      </w:r>
      <w:r w:rsidR="00725884">
        <w:t>составил 774 600,6</w:t>
      </w:r>
      <w:r w:rsidR="00950F74" w:rsidRPr="000804C1">
        <w:t xml:space="preserve"> </w:t>
      </w:r>
      <w:proofErr w:type="spellStart"/>
      <w:r w:rsidR="00D24ABF" w:rsidRPr="000804C1">
        <w:t>тыс.руб</w:t>
      </w:r>
      <w:proofErr w:type="spellEnd"/>
      <w:r w:rsidR="00306FC4" w:rsidRPr="000804C1">
        <w:t>.</w:t>
      </w:r>
      <w:r w:rsidR="00D24ABF" w:rsidRPr="000804C1">
        <w:t xml:space="preserve"> </w:t>
      </w:r>
    </w:p>
    <w:p w:rsidR="00BC2D0C" w:rsidRPr="000804C1" w:rsidRDefault="00D24ABF" w:rsidP="008D3E17">
      <w:pPr>
        <w:ind w:right="-142" w:firstLine="540"/>
        <w:jc w:val="both"/>
      </w:pPr>
      <w:r w:rsidRPr="000804C1">
        <w:t xml:space="preserve">За </w:t>
      </w:r>
      <w:r w:rsidR="004B7BD4">
        <w:t>1 квартал 2019</w:t>
      </w:r>
      <w:r w:rsidR="00D840B5" w:rsidRPr="000804C1">
        <w:t xml:space="preserve"> года в</w:t>
      </w:r>
      <w:r w:rsidR="008245CE" w:rsidRPr="000804C1">
        <w:t xml:space="preserve"> </w:t>
      </w:r>
      <w:r w:rsidR="00BC2D0C" w:rsidRPr="000804C1">
        <w:t>местный бюджет поступило</w:t>
      </w:r>
      <w:r w:rsidR="00994781" w:rsidRPr="000804C1">
        <w:t xml:space="preserve"> доходов на общую </w:t>
      </w:r>
      <w:r w:rsidR="00BC2D0C" w:rsidRPr="000804C1">
        <w:t xml:space="preserve"> </w:t>
      </w:r>
      <w:r w:rsidR="00994781" w:rsidRPr="000804C1">
        <w:t xml:space="preserve">сумму </w:t>
      </w:r>
      <w:r w:rsidR="0030444C" w:rsidRPr="000804C1">
        <w:t xml:space="preserve">          </w:t>
      </w:r>
      <w:r w:rsidR="004B7BD4" w:rsidRPr="00555249">
        <w:t>224 651,5</w:t>
      </w:r>
      <w:r w:rsidR="0030444C" w:rsidRPr="000804C1">
        <w:t xml:space="preserve"> </w:t>
      </w:r>
      <w:r w:rsidR="009E44C1" w:rsidRPr="000804C1">
        <w:t xml:space="preserve">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A329CB" w:rsidRPr="000804C1">
        <w:t>.</w:t>
      </w:r>
      <w:r w:rsidR="00BC2D0C" w:rsidRPr="000804C1">
        <w:t xml:space="preserve">, что составляет </w:t>
      </w:r>
      <w:r w:rsidR="004B7BD4">
        <w:t>21,03</w:t>
      </w:r>
      <w:r w:rsidR="00BC2D0C" w:rsidRPr="000804C1">
        <w:t>% к утвержденным бюджетным назначениям, из ни</w:t>
      </w:r>
      <w:r w:rsidR="007D404F" w:rsidRPr="000804C1">
        <w:t>х</w:t>
      </w:r>
      <w:r w:rsidR="00BC2D0C" w:rsidRPr="000804C1">
        <w:t xml:space="preserve">  объем безв</w:t>
      </w:r>
      <w:r w:rsidR="0030444C" w:rsidRPr="000804C1">
        <w:t>озмездны</w:t>
      </w:r>
      <w:r w:rsidR="004B7BD4">
        <w:t>х поступлений составил 162 502,0</w:t>
      </w:r>
      <w:r w:rsidR="00BC2D0C" w:rsidRPr="000804C1">
        <w:t xml:space="preserve"> </w:t>
      </w:r>
      <w:proofErr w:type="spellStart"/>
      <w:r w:rsidR="00BC2D0C" w:rsidRPr="000804C1">
        <w:t>тыс.руб</w:t>
      </w:r>
      <w:proofErr w:type="spellEnd"/>
      <w:r w:rsidR="007B5DE0" w:rsidRPr="000804C1">
        <w:t>.</w:t>
      </w:r>
      <w:r w:rsidR="00BC2D0C" w:rsidRPr="000804C1">
        <w:t xml:space="preserve"> или </w:t>
      </w:r>
      <w:r w:rsidR="004B7BD4">
        <w:t>20,98</w:t>
      </w:r>
      <w:r w:rsidR="004A5FAB" w:rsidRPr="000804C1">
        <w:t>%   к утвержденным бюджетным назначениям</w:t>
      </w:r>
      <w:r w:rsidR="00347265" w:rsidRPr="000804C1">
        <w:t>.</w:t>
      </w:r>
      <w:r w:rsidR="00D840B5" w:rsidRPr="000804C1">
        <w:t xml:space="preserve"> </w:t>
      </w:r>
    </w:p>
    <w:p w:rsidR="002F0981" w:rsidRPr="000804C1" w:rsidRDefault="002F0981" w:rsidP="008D3E17">
      <w:pPr>
        <w:ind w:right="-142" w:firstLine="540"/>
        <w:jc w:val="both"/>
      </w:pPr>
    </w:p>
    <w:p w:rsidR="002F0981" w:rsidRDefault="00F91CD2" w:rsidP="005567B7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 w:rsidR="000804C1">
        <w:t xml:space="preserve">исполнения </w:t>
      </w:r>
      <w:r w:rsidRPr="000804C1">
        <w:t xml:space="preserve"> </w:t>
      </w:r>
      <w:r w:rsidR="00DE0792" w:rsidRPr="000804C1">
        <w:t xml:space="preserve">бюджета муниципального образования – «город Тулун» </w:t>
      </w:r>
      <w:r w:rsidR="000804C1">
        <w:t xml:space="preserve">по доходам </w:t>
      </w:r>
      <w:r w:rsidR="00B30C34" w:rsidRPr="000804C1">
        <w:t xml:space="preserve">за </w:t>
      </w:r>
      <w:r w:rsidR="004B7BD4">
        <w:t>1 квартал 2019</w:t>
      </w:r>
      <w:r w:rsidR="004B7BD4" w:rsidRPr="000804C1">
        <w:t xml:space="preserve"> года </w:t>
      </w:r>
      <w:r w:rsidRPr="000804C1">
        <w:t xml:space="preserve"> </w:t>
      </w:r>
      <w:r w:rsidR="00DE0792" w:rsidRPr="000804C1">
        <w:t xml:space="preserve"> представлен</w:t>
      </w:r>
      <w:r w:rsidRPr="000804C1">
        <w:t>а</w:t>
      </w:r>
      <w:r w:rsidR="000804C1">
        <w:t xml:space="preserve"> на рисунке № 1.</w:t>
      </w:r>
    </w:p>
    <w:p w:rsidR="005D4D5D" w:rsidRDefault="005D4D5D" w:rsidP="005567B7">
      <w:pPr>
        <w:autoSpaceDE w:val="0"/>
        <w:autoSpaceDN w:val="0"/>
        <w:adjustRightInd w:val="0"/>
        <w:ind w:firstLine="540"/>
        <w:jc w:val="both"/>
      </w:pPr>
    </w:p>
    <w:p w:rsidR="005567B7" w:rsidRDefault="005567B7" w:rsidP="005567B7">
      <w:pPr>
        <w:autoSpaceDE w:val="0"/>
        <w:autoSpaceDN w:val="0"/>
        <w:adjustRightInd w:val="0"/>
        <w:ind w:firstLine="540"/>
        <w:jc w:val="both"/>
      </w:pPr>
    </w:p>
    <w:p w:rsidR="00B30C34" w:rsidRPr="002A033F" w:rsidRDefault="00F80B24" w:rsidP="00F80B2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t xml:space="preserve">        </w:t>
      </w:r>
      <w:r w:rsidR="00326931" w:rsidRPr="002A033F">
        <w:rPr>
          <w:b/>
          <w:sz w:val="20"/>
          <w:szCs w:val="20"/>
        </w:rPr>
        <w:t>Рисунок № 1</w:t>
      </w:r>
    </w:p>
    <w:p w:rsidR="00241FB1" w:rsidRDefault="00241FB1" w:rsidP="00241FB1">
      <w:pPr>
        <w:autoSpaceDE w:val="0"/>
        <w:autoSpaceDN w:val="0"/>
        <w:adjustRightInd w:val="0"/>
        <w:jc w:val="both"/>
      </w:pPr>
    </w:p>
    <w:p w:rsidR="00241FB1" w:rsidRDefault="00241FB1" w:rsidP="000431EC">
      <w:pPr>
        <w:autoSpaceDE w:val="0"/>
        <w:autoSpaceDN w:val="0"/>
        <w:adjustRightInd w:val="0"/>
        <w:ind w:firstLine="540"/>
        <w:jc w:val="both"/>
      </w:pPr>
    </w:p>
    <w:p w:rsidR="0030444C" w:rsidRDefault="00B30C34" w:rsidP="000431EC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B8FB1C" wp14:editId="6F864D4A">
            <wp:simplePos x="0" y="0"/>
            <wp:positionH relativeFrom="column">
              <wp:posOffset>301625</wp:posOffset>
            </wp:positionH>
            <wp:positionV relativeFrom="paragraph">
              <wp:posOffset>0</wp:posOffset>
            </wp:positionV>
            <wp:extent cx="5486400" cy="3200400"/>
            <wp:effectExtent l="0" t="0" r="19050" b="1905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FB1" w:rsidRDefault="0030444C" w:rsidP="0030444C">
      <w:pPr>
        <w:ind w:right="-142"/>
        <w:jc w:val="both"/>
      </w:pPr>
      <w:r>
        <w:t xml:space="preserve">      </w:t>
      </w:r>
      <w:r w:rsidR="00D24ABF" w:rsidRPr="00D840B5">
        <w:t xml:space="preserve"> </w:t>
      </w:r>
    </w:p>
    <w:p w:rsidR="00D24ABF" w:rsidRDefault="00241FB1" w:rsidP="0030444C">
      <w:pPr>
        <w:ind w:right="-142"/>
        <w:jc w:val="both"/>
      </w:pPr>
      <w:r>
        <w:t xml:space="preserve">       </w:t>
      </w:r>
      <w:r w:rsidR="0030444C">
        <w:t>О</w:t>
      </w:r>
      <w:r w:rsidR="0030444C" w:rsidRPr="00D840B5">
        <w:t xml:space="preserve">сновную долю </w:t>
      </w:r>
      <w:r w:rsidR="00D24ABF" w:rsidRPr="00D840B5">
        <w:t xml:space="preserve">в структуре  исполнения  бюджета муниципального образования – «город Тулун» </w:t>
      </w:r>
      <w:r w:rsidR="0030444C">
        <w:t xml:space="preserve">по доходам </w:t>
      </w:r>
      <w:r w:rsidR="005B4E64" w:rsidRPr="000804C1">
        <w:t xml:space="preserve">за </w:t>
      </w:r>
      <w:r w:rsidR="005B4E64">
        <w:t>1 квартал 2019</w:t>
      </w:r>
      <w:r w:rsidR="005B4E64" w:rsidRPr="000804C1">
        <w:t xml:space="preserve"> года </w:t>
      </w:r>
      <w:r w:rsidR="00D24ABF" w:rsidRPr="00D840B5">
        <w:t xml:space="preserve"> составили безвозмездные поступления от других бюджетов бюджетно</w:t>
      </w:r>
      <w:r w:rsidR="00D24ABF">
        <w:t xml:space="preserve">й системы </w:t>
      </w:r>
      <w:r w:rsidR="0030444C">
        <w:t>–</w:t>
      </w:r>
      <w:r w:rsidR="00D24ABF">
        <w:t xml:space="preserve"> </w:t>
      </w:r>
      <w:r w:rsidR="005B4E64">
        <w:t>7</w:t>
      </w:r>
      <w:r w:rsidR="00D24994">
        <w:t>2,3</w:t>
      </w:r>
      <w:r w:rsidR="0030444C">
        <w:t xml:space="preserve"> %, д</w:t>
      </w:r>
      <w:r w:rsidR="00D24ABF">
        <w:t>оля налоговых доходов составила</w:t>
      </w:r>
      <w:r w:rsidR="00D24994">
        <w:t xml:space="preserve"> 24,2</w:t>
      </w:r>
      <w:r w:rsidR="00D24ABF">
        <w:t xml:space="preserve"> %, </w:t>
      </w:r>
      <w:r w:rsidR="00F52D51">
        <w:t xml:space="preserve">доля неналоговых доходов составила </w:t>
      </w:r>
      <w:r w:rsidR="00D24994">
        <w:t>3,5</w:t>
      </w:r>
      <w:r w:rsidR="00D24ABF">
        <w:t xml:space="preserve"> %.</w:t>
      </w:r>
    </w:p>
    <w:p w:rsidR="001E53C6" w:rsidRDefault="001E53C6" w:rsidP="0030444C">
      <w:pPr>
        <w:ind w:right="-142"/>
        <w:jc w:val="both"/>
      </w:pPr>
    </w:p>
    <w:p w:rsidR="00F80B24" w:rsidRDefault="00F80B24" w:rsidP="0030444C">
      <w:pPr>
        <w:ind w:right="-142"/>
        <w:jc w:val="both"/>
      </w:pPr>
    </w:p>
    <w:p w:rsidR="002058AC" w:rsidRPr="00A57033" w:rsidRDefault="001E53C6" w:rsidP="001E53C6">
      <w:pPr>
        <w:autoSpaceDE w:val="0"/>
        <w:autoSpaceDN w:val="0"/>
        <w:adjustRightInd w:val="0"/>
        <w:ind w:firstLine="540"/>
        <w:jc w:val="both"/>
      </w:pPr>
      <w:r>
        <w:t xml:space="preserve">Анализ исполнения местного бюджета по видам доходов </w:t>
      </w:r>
      <w:r w:rsidR="002F0981">
        <w:t xml:space="preserve">и безвозмездным поступлениям </w:t>
      </w:r>
      <w:r w:rsidR="002A5655" w:rsidRPr="002A5655">
        <w:t xml:space="preserve"> </w:t>
      </w:r>
      <w:r w:rsidR="002A5655" w:rsidRPr="000804C1">
        <w:t xml:space="preserve">за </w:t>
      </w:r>
      <w:r w:rsidR="002A5655">
        <w:t>1 квартал 2019</w:t>
      </w:r>
      <w:r w:rsidR="002A5655" w:rsidRPr="000804C1">
        <w:t xml:space="preserve"> года  </w:t>
      </w:r>
      <w:r>
        <w:t xml:space="preserve"> приведен в таблице № 2.</w:t>
      </w:r>
    </w:p>
    <w:p w:rsidR="000F5823" w:rsidRPr="00A57033" w:rsidRDefault="000F5823" w:rsidP="008D3E17">
      <w:pPr>
        <w:ind w:right="-142" w:firstLine="540"/>
        <w:jc w:val="right"/>
      </w:pPr>
    </w:p>
    <w:p w:rsidR="0024058E" w:rsidRPr="004B1738" w:rsidRDefault="00B80277" w:rsidP="00B80277">
      <w:pPr>
        <w:ind w:right="-142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C2D0C" w:rsidRPr="004B1738">
        <w:rPr>
          <w:b/>
          <w:sz w:val="20"/>
          <w:szCs w:val="20"/>
        </w:rPr>
        <w:t>Таблица №</w:t>
      </w:r>
      <w:r w:rsidR="00714528" w:rsidRPr="004B1738">
        <w:rPr>
          <w:b/>
          <w:sz w:val="20"/>
          <w:szCs w:val="20"/>
        </w:rPr>
        <w:t xml:space="preserve"> </w:t>
      </w:r>
      <w:r w:rsidR="00BC2D0C" w:rsidRPr="004B1738">
        <w:rPr>
          <w:b/>
          <w:sz w:val="20"/>
          <w:szCs w:val="20"/>
        </w:rPr>
        <w:t>2 (тыс.</w:t>
      </w:r>
      <w:r w:rsidR="00831F1E" w:rsidRPr="004B1738">
        <w:rPr>
          <w:b/>
          <w:sz w:val="20"/>
          <w:szCs w:val="20"/>
        </w:rPr>
        <w:t xml:space="preserve"> </w:t>
      </w:r>
      <w:r w:rsidR="00BC2D0C" w:rsidRPr="004B1738">
        <w:rPr>
          <w:b/>
          <w:sz w:val="20"/>
          <w:szCs w:val="20"/>
        </w:rPr>
        <w:t>руб</w:t>
      </w:r>
      <w:r w:rsidR="004B1738" w:rsidRPr="004B1738">
        <w:rPr>
          <w:b/>
          <w:sz w:val="20"/>
          <w:szCs w:val="20"/>
        </w:rPr>
        <w:t>.</w:t>
      </w:r>
      <w:r w:rsidR="00BC2D0C" w:rsidRPr="004B1738">
        <w:rPr>
          <w:b/>
          <w:sz w:val="20"/>
          <w:szCs w:val="20"/>
        </w:rPr>
        <w:t>)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126"/>
        <w:gridCol w:w="1843"/>
        <w:gridCol w:w="1843"/>
      </w:tblGrid>
      <w:tr w:rsidR="001E53C6" w:rsidRPr="00A57033" w:rsidTr="008A1B1B">
        <w:trPr>
          <w:trHeight w:val="1405"/>
        </w:trPr>
        <w:tc>
          <w:tcPr>
            <w:tcW w:w="367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E53C6" w:rsidP="00A63A90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A63A90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  <w:lang w:eastAsia="en-US"/>
              </w:rPr>
              <w:t>(с учет</w:t>
            </w:r>
            <w:r w:rsidR="002A5655">
              <w:rPr>
                <w:sz w:val="18"/>
                <w:szCs w:val="18"/>
                <w:lang w:eastAsia="en-US"/>
              </w:rPr>
              <w:t>ом  внесенных изменений на 01.04.2019</w:t>
            </w:r>
            <w:r w:rsidRPr="00A63A90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B05EB" w:rsidRPr="00A63A9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FB718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293 639,1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FB718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62 149,5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FB718D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249 613,7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54 330,5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C24348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21,8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8118AA" w:rsidRPr="00A57033" w:rsidRDefault="00FB718D" w:rsidP="0081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150 984,0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FB718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32 998,5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FB718D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1E53C6" w:rsidRPr="00A57033" w:rsidTr="005C0363">
        <w:trPr>
          <w:trHeight w:val="78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8118AA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Налог на товары (работы, услуги), реализуемые</w:t>
            </w:r>
            <w:r w:rsidR="001E53C6" w:rsidRPr="00A57033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8118AA" w:rsidRPr="00A57033" w:rsidRDefault="00FB718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11 982,7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FB718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3 235,4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FB718D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8 923,8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7F69C1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7 238,5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7F69C1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9 675,0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1 934,3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7F69C1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44 025,4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7F69C1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7 819,0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C24348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17,8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8118AA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35 047,3</w:t>
            </w:r>
          </w:p>
        </w:tc>
        <w:tc>
          <w:tcPr>
            <w:tcW w:w="1843" w:type="dxa"/>
            <w:shd w:val="clear" w:color="auto" w:fill="auto"/>
          </w:tcPr>
          <w:p w:rsidR="008118AA" w:rsidRPr="00A57033" w:rsidRDefault="007F69C1" w:rsidP="007F6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5 252,3</w:t>
            </w:r>
          </w:p>
        </w:tc>
        <w:tc>
          <w:tcPr>
            <w:tcW w:w="1843" w:type="dxa"/>
            <w:shd w:val="clear" w:color="auto" w:fill="auto"/>
          </w:tcPr>
          <w:p w:rsidR="008118AA" w:rsidRPr="00466C7E" w:rsidRDefault="007F69C1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</w:tcPr>
          <w:p w:rsidR="008118AA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1843" w:type="dxa"/>
            <w:shd w:val="clear" w:color="auto" w:fill="auto"/>
          </w:tcPr>
          <w:p w:rsidR="008118AA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1843" w:type="dxa"/>
            <w:shd w:val="clear" w:color="auto" w:fill="auto"/>
          </w:tcPr>
          <w:p w:rsidR="00BA1029" w:rsidRPr="00466C7E" w:rsidRDefault="007F69C1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</w:tcPr>
          <w:p w:rsidR="00BA1029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BA1029" w:rsidRPr="00A57033" w:rsidRDefault="007F69C1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843" w:type="dxa"/>
            <w:shd w:val="clear" w:color="auto" w:fill="auto"/>
          </w:tcPr>
          <w:p w:rsidR="00BA1029" w:rsidRPr="00466C7E" w:rsidRDefault="007F69C1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</w:tcPr>
          <w:p w:rsidR="00BA1029" w:rsidRPr="00A57033" w:rsidRDefault="008F6A8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3 170,1</w:t>
            </w:r>
          </w:p>
        </w:tc>
        <w:tc>
          <w:tcPr>
            <w:tcW w:w="1843" w:type="dxa"/>
            <w:shd w:val="clear" w:color="auto" w:fill="auto"/>
          </w:tcPr>
          <w:p w:rsidR="00BA1029" w:rsidRPr="00A57033" w:rsidRDefault="008F6A8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1 170,2</w:t>
            </w:r>
          </w:p>
        </w:tc>
        <w:tc>
          <w:tcPr>
            <w:tcW w:w="1843" w:type="dxa"/>
            <w:shd w:val="clear" w:color="auto" w:fill="auto"/>
          </w:tcPr>
          <w:p w:rsidR="00BA1029" w:rsidRPr="00466C7E" w:rsidRDefault="008F6A8E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8F6A8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5 114,0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8F6A8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1 101,9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8F6A8E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8F6A8E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8F6A8E" w:rsidRPr="00A57033" w:rsidRDefault="0003534A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shd w:val="clear" w:color="auto" w:fill="auto"/>
          </w:tcPr>
          <w:p w:rsidR="008F6A8E" w:rsidRDefault="008F6A8E" w:rsidP="008F2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6A8E" w:rsidRDefault="0003534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843" w:type="dxa"/>
            <w:shd w:val="clear" w:color="auto" w:fill="auto"/>
          </w:tcPr>
          <w:p w:rsidR="008F6A8E" w:rsidRDefault="008F6A8E" w:rsidP="00466C7E">
            <w:pPr>
              <w:jc w:val="center"/>
              <w:rPr>
                <w:sz w:val="20"/>
                <w:szCs w:val="20"/>
              </w:rPr>
            </w:pPr>
          </w:p>
        </w:tc>
      </w:tr>
      <w:tr w:rsidR="0003534A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03534A" w:rsidRDefault="0003534A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03534A" w:rsidRDefault="0003534A" w:rsidP="008F2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3534A" w:rsidRDefault="0003534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- 1,0</w:t>
            </w:r>
          </w:p>
        </w:tc>
        <w:tc>
          <w:tcPr>
            <w:tcW w:w="1843" w:type="dxa"/>
            <w:shd w:val="clear" w:color="auto" w:fill="auto"/>
          </w:tcPr>
          <w:p w:rsidR="0003534A" w:rsidRDefault="0003534A" w:rsidP="00466C7E">
            <w:pPr>
              <w:jc w:val="center"/>
              <w:rPr>
                <w:sz w:val="20"/>
                <w:szCs w:val="20"/>
              </w:rPr>
            </w:pP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03534A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774 600,6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03534A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162 502,0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1045F8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277807" w:rsidRDefault="001E53C6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2126" w:type="dxa"/>
            <w:shd w:val="clear" w:color="auto" w:fill="auto"/>
          </w:tcPr>
          <w:p w:rsidR="001E53C6" w:rsidRPr="003371F3" w:rsidRDefault="0003534A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774 600,6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03534A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164 241,3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1045F8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277807" w:rsidRDefault="001045F8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shd w:val="clear" w:color="auto" w:fill="auto"/>
          </w:tcPr>
          <w:p w:rsidR="001E53C6" w:rsidRPr="003371F3" w:rsidRDefault="001E53C6" w:rsidP="008F23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53C6" w:rsidRPr="003371F3" w:rsidRDefault="001045F8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30,9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1E53C6" w:rsidP="00466C7E">
            <w:pPr>
              <w:jc w:val="center"/>
              <w:rPr>
                <w:sz w:val="20"/>
                <w:szCs w:val="20"/>
              </w:rPr>
            </w:pPr>
          </w:p>
        </w:tc>
      </w:tr>
      <w:tr w:rsidR="001045F8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045F8" w:rsidRDefault="001045F8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shd w:val="clear" w:color="auto" w:fill="auto"/>
          </w:tcPr>
          <w:p w:rsidR="001045F8" w:rsidRPr="003371F3" w:rsidRDefault="001045F8" w:rsidP="008F23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45F8" w:rsidRPr="003371F3" w:rsidRDefault="001045F8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- 1 770,2</w:t>
            </w:r>
          </w:p>
        </w:tc>
        <w:tc>
          <w:tcPr>
            <w:tcW w:w="1843" w:type="dxa"/>
            <w:shd w:val="clear" w:color="auto" w:fill="auto"/>
          </w:tcPr>
          <w:p w:rsidR="001045F8" w:rsidRPr="003371F3" w:rsidRDefault="001045F8" w:rsidP="00466C7E">
            <w:pPr>
              <w:jc w:val="center"/>
              <w:rPr>
                <w:sz w:val="20"/>
                <w:szCs w:val="20"/>
              </w:rPr>
            </w:pPr>
          </w:p>
        </w:tc>
      </w:tr>
      <w:tr w:rsidR="001E53C6" w:rsidRPr="00A57033" w:rsidTr="005C0363">
        <w:trPr>
          <w:trHeight w:val="45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5D1C13" w:rsidRDefault="001E53C6" w:rsidP="009E44C1">
            <w:pPr>
              <w:rPr>
                <w:b/>
                <w:bCs/>
                <w:sz w:val="22"/>
                <w:szCs w:val="22"/>
              </w:rPr>
            </w:pPr>
            <w:r w:rsidRPr="005D1C1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26" w:type="dxa"/>
            <w:shd w:val="clear" w:color="auto" w:fill="auto"/>
          </w:tcPr>
          <w:p w:rsidR="001E53C6" w:rsidRPr="005D1C13" w:rsidRDefault="001045F8" w:rsidP="008F23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1 068 239,7</w:t>
            </w:r>
          </w:p>
        </w:tc>
        <w:tc>
          <w:tcPr>
            <w:tcW w:w="1843" w:type="dxa"/>
            <w:shd w:val="clear" w:color="auto" w:fill="auto"/>
          </w:tcPr>
          <w:p w:rsidR="00056193" w:rsidRPr="005D1C13" w:rsidRDefault="001045F8" w:rsidP="008F23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224 651,5</w:t>
            </w:r>
          </w:p>
        </w:tc>
        <w:tc>
          <w:tcPr>
            <w:tcW w:w="1843" w:type="dxa"/>
            <w:shd w:val="clear" w:color="auto" w:fill="auto"/>
          </w:tcPr>
          <w:p w:rsidR="00056193" w:rsidRPr="005D1C13" w:rsidRDefault="001045F8" w:rsidP="001045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21,03</w:t>
            </w:r>
          </w:p>
        </w:tc>
      </w:tr>
    </w:tbl>
    <w:p w:rsidR="002552BC" w:rsidRDefault="002552BC" w:rsidP="008D3E17">
      <w:pPr>
        <w:autoSpaceDE w:val="0"/>
        <w:autoSpaceDN w:val="0"/>
        <w:adjustRightInd w:val="0"/>
        <w:ind w:firstLine="540"/>
        <w:jc w:val="both"/>
      </w:pPr>
    </w:p>
    <w:p w:rsidR="00F80B24" w:rsidRDefault="00F80B24" w:rsidP="008D3E17">
      <w:pPr>
        <w:autoSpaceDE w:val="0"/>
        <w:autoSpaceDN w:val="0"/>
        <w:adjustRightInd w:val="0"/>
        <w:ind w:firstLine="540"/>
        <w:jc w:val="both"/>
      </w:pPr>
    </w:p>
    <w:p w:rsidR="00D922F0" w:rsidRPr="00F16D5F" w:rsidRDefault="00DB7783" w:rsidP="008D3E17">
      <w:pPr>
        <w:autoSpaceDE w:val="0"/>
        <w:autoSpaceDN w:val="0"/>
        <w:adjustRightInd w:val="0"/>
        <w:ind w:firstLine="540"/>
        <w:jc w:val="both"/>
      </w:pPr>
      <w:r w:rsidRPr="00A57033">
        <w:t>Из таблицы</w:t>
      </w:r>
      <w:r w:rsidR="00FC3EC2">
        <w:t xml:space="preserve"> </w:t>
      </w:r>
      <w:r>
        <w:t xml:space="preserve"> № 2</w:t>
      </w:r>
      <w:r w:rsidRPr="00A57033">
        <w:t xml:space="preserve"> видно, что на</w:t>
      </w:r>
      <w:r w:rsidR="00FC3EC2">
        <w:t xml:space="preserve"> </w:t>
      </w:r>
      <w:r w:rsidRPr="00A57033">
        <w:t xml:space="preserve"> 01.</w:t>
      </w:r>
      <w:r w:rsidR="00C24348">
        <w:t>04</w:t>
      </w:r>
      <w:r w:rsidRPr="00A57033">
        <w:t>.201</w:t>
      </w:r>
      <w:r w:rsidR="00C24348">
        <w:t>9</w:t>
      </w:r>
      <w:r w:rsidRPr="00A57033">
        <w:t xml:space="preserve">г. </w:t>
      </w:r>
      <w:r>
        <w:t>н</w:t>
      </w:r>
      <w:r w:rsidR="008C3F3B" w:rsidRPr="008C3F3B">
        <w:t>а</w:t>
      </w:r>
      <w:r>
        <w:t xml:space="preserve">логовые доходы исполнены на </w:t>
      </w:r>
      <w:r w:rsidR="008C3F3B" w:rsidRPr="008C3F3B">
        <w:t xml:space="preserve"> </w:t>
      </w:r>
      <w:r w:rsidR="00C24348">
        <w:t>21,8</w:t>
      </w:r>
      <w:r>
        <w:t>% от утвержденных</w:t>
      </w:r>
      <w:r w:rsidR="008C3F3B" w:rsidRPr="008C3F3B">
        <w:t xml:space="preserve"> назначений, </w:t>
      </w:r>
      <w:r w:rsidR="00FC3EC2">
        <w:t xml:space="preserve"> </w:t>
      </w:r>
      <w:r w:rsidR="008C3F3B" w:rsidRPr="008C3F3B">
        <w:t xml:space="preserve">неналоговые доходы  </w:t>
      </w:r>
      <w:r w:rsidR="00C24348">
        <w:t>исполнены на 17,8</w:t>
      </w:r>
      <w:r w:rsidR="008C3F3B">
        <w:t>%, без</w:t>
      </w:r>
      <w:r>
        <w:t>возмездн</w:t>
      </w:r>
      <w:r w:rsidR="00C24348">
        <w:t>ые поступления  исполнены на 21,0</w:t>
      </w:r>
      <w:r w:rsidR="008C3F3B">
        <w:t>%.</w:t>
      </w:r>
      <w:r w:rsidR="00983F07">
        <w:t xml:space="preserve"> </w:t>
      </w:r>
      <w:r w:rsidR="004317F6" w:rsidRPr="004317F6">
        <w:rPr>
          <w:b/>
          <w:i/>
        </w:rPr>
        <w:t>Наименьший</w:t>
      </w:r>
      <w:r w:rsidR="004317F6">
        <w:t xml:space="preserve"> </w:t>
      </w:r>
      <w:r w:rsidR="004317F6" w:rsidRPr="004317F6">
        <w:rPr>
          <w:b/>
          <w:i/>
        </w:rPr>
        <w:t>процент исполнения бюджета по доходам наблюдается по доходам от использования имущества, находящегося в муниципальной собственности (15%) и по налогу на имущество (18,1%).</w:t>
      </w:r>
      <w:r w:rsidR="00F16D5F">
        <w:rPr>
          <w:b/>
          <w:i/>
        </w:rPr>
        <w:t xml:space="preserve"> </w:t>
      </w:r>
      <w:r w:rsidR="00F16D5F">
        <w:t xml:space="preserve">Низкий процент исполнения </w:t>
      </w:r>
      <w:proofErr w:type="gramStart"/>
      <w:r w:rsidR="00F16D5F" w:rsidRPr="00F16D5F">
        <w:rPr>
          <w:b/>
          <w:i/>
        </w:rPr>
        <w:t>по</w:t>
      </w:r>
      <w:r w:rsidR="00F16D5F" w:rsidRPr="00F16D5F">
        <w:rPr>
          <w:b/>
          <w:i/>
        </w:rPr>
        <w:t xml:space="preserve"> доходам от использования имущества</w:t>
      </w:r>
      <w:r w:rsidR="00F16D5F">
        <w:t xml:space="preserve"> связан с отсутствием арендных платежей за земельные участки по договору</w:t>
      </w:r>
      <w:proofErr w:type="gramEnd"/>
      <w:r w:rsidR="00F16D5F">
        <w:t xml:space="preserve"> аренды от 10.10.2018г. № 28-18 с ООО «</w:t>
      </w:r>
      <w:proofErr w:type="spellStart"/>
      <w:r w:rsidR="00F16D5F">
        <w:t>Тулунский</w:t>
      </w:r>
      <w:proofErr w:type="spellEnd"/>
      <w:r w:rsidR="00F16D5F">
        <w:t xml:space="preserve"> завод </w:t>
      </w:r>
      <w:proofErr w:type="spellStart"/>
      <w:r w:rsidR="00F16D5F">
        <w:t>стеклокомпозитов</w:t>
      </w:r>
      <w:proofErr w:type="spellEnd"/>
      <w:r w:rsidR="00F16D5F">
        <w:t xml:space="preserve">». </w:t>
      </w:r>
    </w:p>
    <w:p w:rsidR="009E44C1" w:rsidRPr="0087515A" w:rsidRDefault="00D922F0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 наи</w:t>
      </w:r>
      <w:r>
        <w:t>больший  удельный вес составили</w:t>
      </w:r>
      <w:r w:rsidRPr="00A430CF">
        <w:t xml:space="preserve"> поступления налога на доходы физических лиц </w:t>
      </w:r>
      <w:r>
        <w:t xml:space="preserve">32 998,5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или 60,7</w:t>
      </w:r>
      <w:r w:rsidRPr="00A430CF">
        <w:t>%</w:t>
      </w:r>
      <w:r w:rsidR="004317F6">
        <w:t>.</w:t>
      </w:r>
    </w:p>
    <w:p w:rsidR="00DA3467" w:rsidRDefault="00DA3467" w:rsidP="00EC6EE1">
      <w:pPr>
        <w:autoSpaceDE w:val="0"/>
        <w:autoSpaceDN w:val="0"/>
        <w:adjustRightInd w:val="0"/>
        <w:ind w:firstLine="709"/>
        <w:jc w:val="right"/>
      </w:pP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Default="00BC2D0C" w:rsidP="0089377F">
      <w:pPr>
        <w:ind w:firstLine="540"/>
        <w:jc w:val="both"/>
      </w:pPr>
      <w:r w:rsidRPr="00A57033">
        <w:t xml:space="preserve">Согласно </w:t>
      </w:r>
      <w:r w:rsidR="004A2347">
        <w:t>Решения</w:t>
      </w:r>
      <w:r w:rsidR="004A4152" w:rsidRPr="00A57033">
        <w:t xml:space="preserve"> о бюджете</w:t>
      </w:r>
      <w:r w:rsidR="004A2347" w:rsidRPr="004A2347">
        <w:t xml:space="preserve"> </w:t>
      </w:r>
      <w:r w:rsidR="004A2347" w:rsidRPr="000804C1">
        <w:t>муниципального обр</w:t>
      </w:r>
      <w:r w:rsidR="004A2347">
        <w:t>азования – «город Тулун»</w:t>
      </w:r>
      <w:r w:rsidR="00682E3D">
        <w:t>,</w:t>
      </w:r>
      <w:r w:rsidR="00682E3D" w:rsidRPr="00682E3D">
        <w:t xml:space="preserve"> </w:t>
      </w:r>
      <w:r w:rsidR="00682E3D" w:rsidRPr="00A57033">
        <w:t>утвержден</w:t>
      </w:r>
      <w:r w:rsidR="00682E3D">
        <w:t>н</w:t>
      </w:r>
      <w:r w:rsidR="004A2347">
        <w:t>ого</w:t>
      </w:r>
      <w:r w:rsidR="00682E3D">
        <w:t xml:space="preserve"> </w:t>
      </w:r>
      <w:r w:rsidR="00682E3D" w:rsidRPr="00A57033">
        <w:t xml:space="preserve"> решением Думы городского округа от </w:t>
      </w:r>
      <w:r w:rsidR="004A2347">
        <w:t>27.12.2018</w:t>
      </w:r>
      <w:r w:rsidR="00682E3D">
        <w:t>г.</w:t>
      </w:r>
      <w:r w:rsidR="004A2347">
        <w:t xml:space="preserve"> № 3</w:t>
      </w:r>
      <w:r w:rsidR="00804572">
        <w:t>0</w:t>
      </w:r>
      <w:r w:rsidR="00682E3D" w:rsidRPr="00C04607">
        <w:t>-ДГО</w:t>
      </w:r>
      <w:r w:rsidR="004A2347">
        <w:t>,</w:t>
      </w:r>
      <w:r w:rsidRPr="00A57033">
        <w:t xml:space="preserve"> общий объем</w:t>
      </w:r>
      <w:r w:rsidR="004A2347">
        <w:t xml:space="preserve"> </w:t>
      </w:r>
      <w:r w:rsidRPr="00A57033">
        <w:t xml:space="preserve"> расходов местного бюджета на 201</w:t>
      </w:r>
      <w:r w:rsidR="004A2347">
        <w:t>9</w:t>
      </w:r>
      <w:r w:rsidR="000E217C">
        <w:t xml:space="preserve"> год </w:t>
      </w:r>
      <w:r w:rsidR="004A4152" w:rsidRPr="00A57033">
        <w:t xml:space="preserve"> </w:t>
      </w:r>
      <w:r w:rsidRPr="00A57033">
        <w:t xml:space="preserve">утвержден в </w:t>
      </w:r>
      <w:r w:rsidR="004A4152" w:rsidRPr="00A57033">
        <w:t>размере</w:t>
      </w:r>
      <w:r w:rsidRPr="00A57033">
        <w:t xml:space="preserve"> </w:t>
      </w:r>
      <w:r w:rsidR="000E217C">
        <w:t>943 520,4</w:t>
      </w:r>
      <w:r w:rsidRPr="00A57033">
        <w:t xml:space="preserve"> </w:t>
      </w:r>
      <w:proofErr w:type="spellStart"/>
      <w:r w:rsidRPr="00A57033">
        <w:t>тыс</w:t>
      </w:r>
      <w:proofErr w:type="gramStart"/>
      <w:r w:rsidRPr="00A57033">
        <w:t>.р</w:t>
      </w:r>
      <w:proofErr w:type="gramEnd"/>
      <w:r w:rsidRPr="00A57033">
        <w:t>уб</w:t>
      </w:r>
      <w:proofErr w:type="spellEnd"/>
      <w:r w:rsidRPr="00A57033">
        <w:t>.</w:t>
      </w:r>
      <w:r w:rsidR="000E217C">
        <w:t xml:space="preserve">    </w:t>
      </w:r>
      <w:r w:rsidR="00725D99">
        <w:t xml:space="preserve"> С учетом  увеличения</w:t>
      </w:r>
      <w:r w:rsidR="000E217C">
        <w:t xml:space="preserve"> объема межбюджетных трансфертов</w:t>
      </w:r>
      <w:r w:rsidR="00C201AB">
        <w:t xml:space="preserve"> из областного бюджета </w:t>
      </w:r>
      <w:r w:rsidR="0008754E">
        <w:t xml:space="preserve"> </w:t>
      </w:r>
      <w:r w:rsidR="001D7B32">
        <w:t>плановый</w:t>
      </w:r>
      <w:r w:rsidR="00725D99">
        <w:t xml:space="preserve"> объем  расходов местного бюджета </w:t>
      </w:r>
      <w:r w:rsidR="00C201AB">
        <w:t>на 2019 год по состоянию на 01.04.2019</w:t>
      </w:r>
      <w:r w:rsidR="0008754E">
        <w:t xml:space="preserve">г. составил </w:t>
      </w:r>
      <w:r w:rsidR="00725D99">
        <w:t xml:space="preserve">  </w:t>
      </w:r>
      <w:r w:rsidR="00C201AB">
        <w:t>1 090 261,7</w:t>
      </w:r>
      <w:r w:rsidR="0008754E">
        <w:t xml:space="preserve"> </w:t>
      </w:r>
      <w:proofErr w:type="spellStart"/>
      <w:r w:rsidR="0008754E">
        <w:t>тыс.руб</w:t>
      </w:r>
      <w:proofErr w:type="spellEnd"/>
      <w:r w:rsidR="00725D99">
        <w:t>.</w:t>
      </w:r>
      <w:r w:rsidR="00673CE0">
        <w:t xml:space="preserve"> </w:t>
      </w:r>
    </w:p>
    <w:p w:rsidR="00AE431E" w:rsidRPr="00CA3915" w:rsidRDefault="00C201AB" w:rsidP="0089377F">
      <w:pPr>
        <w:ind w:firstLine="540"/>
        <w:jc w:val="both"/>
      </w:pPr>
      <w:r>
        <w:lastRenderedPageBreak/>
        <w:t>За 1 квартал 2019</w:t>
      </w:r>
      <w:r w:rsidR="00AE431E" w:rsidRPr="00CA3915">
        <w:t xml:space="preserve"> года расходы </w:t>
      </w:r>
      <w:r>
        <w:t xml:space="preserve"> местного бюджета составили  214 136,4</w:t>
      </w:r>
      <w:r w:rsidR="00AE431E" w:rsidRPr="00CA3915">
        <w:t xml:space="preserve"> </w:t>
      </w:r>
      <w:proofErr w:type="spellStart"/>
      <w:r w:rsidR="00AE431E" w:rsidRPr="00CA3915">
        <w:t>тыс</w:t>
      </w:r>
      <w:proofErr w:type="gramStart"/>
      <w:r w:rsidR="00AE431E" w:rsidRPr="00CA3915">
        <w:t>.р</w:t>
      </w:r>
      <w:proofErr w:type="gramEnd"/>
      <w:r w:rsidR="00AE431E" w:rsidRPr="00CA3915">
        <w:t>уб</w:t>
      </w:r>
      <w:proofErr w:type="spellEnd"/>
      <w:r w:rsidR="00AE431E" w:rsidRPr="00CA3915">
        <w:t>.</w:t>
      </w:r>
      <w:r w:rsidR="001D7B32" w:rsidRPr="00CA3915">
        <w:t xml:space="preserve"> </w:t>
      </w:r>
      <w:r>
        <w:t>или 19,64</w:t>
      </w:r>
      <w:r w:rsidR="00AE431E" w:rsidRPr="00CA3915">
        <w:t>%  к утвержденным бюджетным назначениям.</w:t>
      </w:r>
    </w:p>
    <w:p w:rsidR="00AE431E" w:rsidRPr="00A57033" w:rsidRDefault="00AE431E" w:rsidP="0089377F">
      <w:pPr>
        <w:ind w:firstLine="540"/>
        <w:jc w:val="both"/>
      </w:pPr>
    </w:p>
    <w:p w:rsidR="00BC2D0C" w:rsidRPr="00E769D5" w:rsidRDefault="00286910" w:rsidP="00E769D5">
      <w:pPr>
        <w:autoSpaceDE w:val="0"/>
        <w:autoSpaceDN w:val="0"/>
        <w:adjustRightInd w:val="0"/>
        <w:ind w:firstLine="709"/>
        <w:jc w:val="both"/>
      </w:pPr>
      <w:r>
        <w:t>Анализ исполнения</w:t>
      </w:r>
      <w:r w:rsidR="00C9664A" w:rsidRPr="00A57033">
        <w:t xml:space="preserve"> бюджетных назначений с детализацией по функциональной структуре </w:t>
      </w:r>
      <w:r w:rsidR="009577C8">
        <w:t xml:space="preserve">расходов </w:t>
      </w:r>
      <w:r w:rsidR="00C201AB">
        <w:t xml:space="preserve">за 1 квартал 2019 года </w:t>
      </w:r>
      <w:r w:rsidR="00EB54AD">
        <w:t xml:space="preserve"> </w:t>
      </w:r>
      <w:r>
        <w:t>приведен</w:t>
      </w:r>
      <w:r w:rsidR="00C9664A" w:rsidRPr="00A57033">
        <w:t xml:space="preserve"> в таблице № </w:t>
      </w:r>
      <w:r w:rsidR="004B1738">
        <w:t>3</w:t>
      </w:r>
      <w:r w:rsidR="00414EAF">
        <w:t>.</w:t>
      </w:r>
      <w:r w:rsidR="003A1C33" w:rsidRPr="00A57033">
        <w:rPr>
          <w:b/>
          <w:i/>
        </w:rPr>
        <w:tab/>
      </w:r>
    </w:p>
    <w:p w:rsidR="00063A13" w:rsidRPr="00A57033" w:rsidRDefault="00063A13" w:rsidP="003A1C3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C2D0C" w:rsidRPr="00414EAF" w:rsidRDefault="00AA0BAB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B1738" w:rsidRPr="00414EAF">
        <w:rPr>
          <w:b/>
          <w:sz w:val="20"/>
          <w:szCs w:val="20"/>
        </w:rPr>
        <w:t>Таблица № 3</w:t>
      </w:r>
      <w:r w:rsidR="00BC2D0C" w:rsidRPr="00414EAF">
        <w:rPr>
          <w:b/>
          <w:sz w:val="20"/>
          <w:szCs w:val="20"/>
        </w:rPr>
        <w:t xml:space="preserve"> (тыс.</w:t>
      </w:r>
      <w:r w:rsidR="0004274C" w:rsidRPr="00414EAF">
        <w:rPr>
          <w:b/>
          <w:sz w:val="20"/>
          <w:szCs w:val="20"/>
        </w:rPr>
        <w:t xml:space="preserve"> </w:t>
      </w:r>
      <w:r w:rsidR="00BC2D0C" w:rsidRPr="00414EAF">
        <w:rPr>
          <w:b/>
          <w:sz w:val="20"/>
          <w:szCs w:val="20"/>
        </w:rPr>
        <w:t>руб</w:t>
      </w:r>
      <w:r w:rsidR="004B1738" w:rsidRPr="00414EAF">
        <w:rPr>
          <w:b/>
          <w:sz w:val="20"/>
          <w:szCs w:val="20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559"/>
        <w:gridCol w:w="1559"/>
        <w:gridCol w:w="1559"/>
      </w:tblGrid>
      <w:tr w:rsidR="005C0363" w:rsidRPr="00A57033" w:rsidTr="00AA0BAB">
        <w:trPr>
          <w:trHeight w:val="1242"/>
        </w:trPr>
        <w:tc>
          <w:tcPr>
            <w:tcW w:w="5070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5C0363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sz w:val="18"/>
                <w:szCs w:val="18"/>
                <w:lang w:eastAsia="en-US"/>
              </w:rPr>
              <w:t>(с учет</w:t>
            </w:r>
            <w:r w:rsidR="0080083E">
              <w:rPr>
                <w:sz w:val="18"/>
                <w:szCs w:val="18"/>
                <w:lang w:eastAsia="en-US"/>
              </w:rPr>
              <w:t>ом  внесенных изменений на 01.04.2019</w:t>
            </w:r>
            <w:r w:rsidRPr="005C0363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559" w:type="dxa"/>
            <w:vAlign w:val="center"/>
          </w:tcPr>
          <w:p w:rsidR="005C0363" w:rsidRPr="00A63A90" w:rsidRDefault="005C0363" w:rsidP="005C0363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  <w:r w:rsidRPr="005C036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065F30" w:rsidRPr="00A57033" w:rsidRDefault="0080083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116 130,7</w:t>
            </w:r>
          </w:p>
        </w:tc>
        <w:tc>
          <w:tcPr>
            <w:tcW w:w="1559" w:type="dxa"/>
            <w:vAlign w:val="center"/>
          </w:tcPr>
          <w:p w:rsidR="00065F30" w:rsidRPr="00A57033" w:rsidRDefault="0080083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24 600,5</w:t>
            </w:r>
          </w:p>
        </w:tc>
        <w:tc>
          <w:tcPr>
            <w:tcW w:w="1559" w:type="dxa"/>
            <w:vAlign w:val="center"/>
          </w:tcPr>
          <w:p w:rsidR="00065F30" w:rsidRPr="00A57033" w:rsidRDefault="0080083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065F30" w:rsidRPr="00A57033" w:rsidRDefault="0060041A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  <w:tc>
          <w:tcPr>
            <w:tcW w:w="1559" w:type="dxa"/>
            <w:vAlign w:val="center"/>
          </w:tcPr>
          <w:p w:rsidR="00065F30" w:rsidRPr="00A57033" w:rsidRDefault="0060041A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559" w:type="dxa"/>
            <w:vAlign w:val="center"/>
          </w:tcPr>
          <w:p w:rsidR="00065F30" w:rsidRPr="00A57033" w:rsidRDefault="0060041A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065F30" w:rsidRPr="00A57033" w:rsidRDefault="0060041A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96 887,6</w:t>
            </w:r>
          </w:p>
        </w:tc>
        <w:tc>
          <w:tcPr>
            <w:tcW w:w="1559" w:type="dxa"/>
            <w:vAlign w:val="center"/>
          </w:tcPr>
          <w:p w:rsidR="00065F30" w:rsidRPr="00A57033" w:rsidRDefault="0060041A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5 864,1</w:t>
            </w:r>
          </w:p>
        </w:tc>
        <w:tc>
          <w:tcPr>
            <w:tcW w:w="1559" w:type="dxa"/>
            <w:vAlign w:val="center"/>
          </w:tcPr>
          <w:p w:rsidR="00065F30" w:rsidRPr="00A57033" w:rsidRDefault="0060041A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9577C8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065F30" w:rsidRPr="00A57033" w:rsidRDefault="00B51E7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83 876,0</w:t>
            </w:r>
          </w:p>
        </w:tc>
        <w:tc>
          <w:tcPr>
            <w:tcW w:w="1559" w:type="dxa"/>
            <w:vAlign w:val="center"/>
          </w:tcPr>
          <w:p w:rsidR="00065F30" w:rsidRPr="00A57033" w:rsidRDefault="00B51E73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5 391,3</w:t>
            </w:r>
          </w:p>
        </w:tc>
        <w:tc>
          <w:tcPr>
            <w:tcW w:w="1559" w:type="dxa"/>
            <w:vAlign w:val="center"/>
          </w:tcPr>
          <w:p w:rsidR="00065F30" w:rsidRPr="00A57033" w:rsidRDefault="00B51E7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065F30" w:rsidRPr="00A57033" w:rsidRDefault="00B51E7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634 783,8</w:t>
            </w:r>
          </w:p>
        </w:tc>
        <w:tc>
          <w:tcPr>
            <w:tcW w:w="1559" w:type="dxa"/>
            <w:vAlign w:val="center"/>
          </w:tcPr>
          <w:p w:rsidR="00065F30" w:rsidRPr="00A57033" w:rsidRDefault="00B51E73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147 478,3</w:t>
            </w:r>
          </w:p>
        </w:tc>
        <w:tc>
          <w:tcPr>
            <w:tcW w:w="1559" w:type="dxa"/>
            <w:vAlign w:val="center"/>
          </w:tcPr>
          <w:p w:rsidR="00065F30" w:rsidRPr="00A57033" w:rsidRDefault="00B51E7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vAlign w:val="center"/>
          </w:tcPr>
          <w:p w:rsidR="00065F30" w:rsidRPr="00A57033" w:rsidRDefault="003A4418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36 919,4</w:t>
            </w:r>
          </w:p>
        </w:tc>
        <w:tc>
          <w:tcPr>
            <w:tcW w:w="1559" w:type="dxa"/>
            <w:vAlign w:val="center"/>
          </w:tcPr>
          <w:p w:rsidR="00065F30" w:rsidRPr="00A57033" w:rsidRDefault="003A4418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10 011,1</w:t>
            </w:r>
          </w:p>
        </w:tc>
        <w:tc>
          <w:tcPr>
            <w:tcW w:w="1559" w:type="dxa"/>
            <w:vAlign w:val="center"/>
          </w:tcPr>
          <w:p w:rsidR="00065F30" w:rsidRPr="00A57033" w:rsidRDefault="003A4418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065F30" w:rsidRPr="00A57033" w:rsidRDefault="003A4418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</w:t>
            </w:r>
          </w:p>
        </w:tc>
        <w:tc>
          <w:tcPr>
            <w:tcW w:w="1559" w:type="dxa"/>
            <w:vAlign w:val="center"/>
          </w:tcPr>
          <w:p w:rsidR="00065F30" w:rsidRPr="00A57033" w:rsidRDefault="003A4418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1559" w:type="dxa"/>
            <w:vAlign w:val="center"/>
          </w:tcPr>
          <w:p w:rsidR="00065F30" w:rsidRPr="00A57033" w:rsidRDefault="003A4418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  <w:r w:rsidR="00210531">
              <w:rPr>
                <w:sz w:val="20"/>
                <w:szCs w:val="20"/>
              </w:rPr>
              <w:t xml:space="preserve"> 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58 607,3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15 068,9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59 620,9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4 959,2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2 785,8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065F30" w:rsidRPr="00A57033" w:rsidRDefault="002105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5F30" w:rsidRPr="00A57033" w:rsidTr="005D1C13">
        <w:trPr>
          <w:trHeight w:val="447"/>
        </w:trPr>
        <w:tc>
          <w:tcPr>
            <w:tcW w:w="5070" w:type="dxa"/>
            <w:vAlign w:val="center"/>
          </w:tcPr>
          <w:p w:rsidR="00065F30" w:rsidRPr="005D1C13" w:rsidRDefault="003B4B02" w:rsidP="00785733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065F30" w:rsidRPr="005D1C13" w:rsidRDefault="00210531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1 090 261,7</w:t>
            </w:r>
          </w:p>
        </w:tc>
        <w:tc>
          <w:tcPr>
            <w:tcW w:w="1559" w:type="dxa"/>
            <w:vAlign w:val="center"/>
          </w:tcPr>
          <w:p w:rsidR="00065F30" w:rsidRPr="005D1C13" w:rsidRDefault="00210531" w:rsidP="000B19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214 136,4</w:t>
            </w:r>
          </w:p>
        </w:tc>
        <w:tc>
          <w:tcPr>
            <w:tcW w:w="1559" w:type="dxa"/>
            <w:vAlign w:val="center"/>
          </w:tcPr>
          <w:p w:rsidR="00065F30" w:rsidRPr="005D1C13" w:rsidRDefault="00210531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19,6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F80B24" w:rsidRDefault="00F80B24" w:rsidP="00655CB7">
      <w:pPr>
        <w:autoSpaceDE w:val="0"/>
        <w:autoSpaceDN w:val="0"/>
        <w:adjustRightInd w:val="0"/>
        <w:ind w:firstLine="709"/>
        <w:jc w:val="both"/>
      </w:pPr>
    </w:p>
    <w:p w:rsidR="00BC2D0C" w:rsidRPr="0039713E" w:rsidRDefault="00CD4977" w:rsidP="00655CB7">
      <w:pPr>
        <w:autoSpaceDE w:val="0"/>
        <w:autoSpaceDN w:val="0"/>
        <w:adjustRightInd w:val="0"/>
        <w:ind w:firstLine="709"/>
        <w:jc w:val="both"/>
      </w:pPr>
      <w:r w:rsidRPr="0039713E">
        <w:t>Из</w:t>
      </w:r>
      <w:r w:rsidR="00A37214" w:rsidRPr="0039713E">
        <w:t xml:space="preserve"> таблицы № 3 видно, что расходы</w:t>
      </w:r>
      <w:r w:rsidRPr="0039713E">
        <w:t xml:space="preserve">  местно</w:t>
      </w:r>
      <w:r w:rsidR="00A03BA3">
        <w:t>го бюджета по состоянию на 01.04.2019г. исполнены  на 19</w:t>
      </w:r>
      <w:r w:rsidRPr="0039713E">
        <w:t xml:space="preserve">,6% от утвержденного объема назначений, что в сумме </w:t>
      </w:r>
      <w:r w:rsidR="00A03BA3">
        <w:t>составляет 214 136,4</w:t>
      </w:r>
      <w:r w:rsidRPr="0039713E">
        <w:t xml:space="preserve"> </w:t>
      </w:r>
      <w:proofErr w:type="spellStart"/>
      <w:r w:rsidRPr="0039713E">
        <w:t>тыс</w:t>
      </w:r>
      <w:proofErr w:type="gramStart"/>
      <w:r w:rsidRPr="0039713E">
        <w:t>.р</w:t>
      </w:r>
      <w:proofErr w:type="gramEnd"/>
      <w:r w:rsidRPr="0039713E">
        <w:t>уб</w:t>
      </w:r>
      <w:proofErr w:type="spellEnd"/>
      <w:r w:rsidRPr="0039713E">
        <w:t>.</w:t>
      </w:r>
      <w:r w:rsidR="00BC2D0C" w:rsidRPr="0039713E">
        <w:t xml:space="preserve">  </w:t>
      </w:r>
      <w:r w:rsidR="00655CB7" w:rsidRPr="00804572">
        <w:rPr>
          <w:b/>
          <w:i/>
        </w:rPr>
        <w:t>Н</w:t>
      </w:r>
      <w:r w:rsidR="0074289B" w:rsidRPr="00804572">
        <w:rPr>
          <w:b/>
          <w:i/>
        </w:rPr>
        <w:t xml:space="preserve">аибольшее исполнение </w:t>
      </w:r>
      <w:r w:rsidR="001232A7">
        <w:rPr>
          <w:b/>
          <w:i/>
        </w:rPr>
        <w:t>в разрезе функциональной структуры</w:t>
      </w:r>
      <w:r w:rsidR="001232A7" w:rsidRPr="001232A7">
        <w:rPr>
          <w:b/>
          <w:i/>
        </w:rPr>
        <w:t xml:space="preserve"> расходов</w:t>
      </w:r>
      <w:r w:rsidR="001232A7">
        <w:t xml:space="preserve"> </w:t>
      </w:r>
      <w:r w:rsidR="0074289B" w:rsidRPr="00804572">
        <w:rPr>
          <w:b/>
          <w:i/>
        </w:rPr>
        <w:t>сложилось по разделу «</w:t>
      </w:r>
      <w:r w:rsidR="00A03BA3" w:rsidRPr="00804572">
        <w:rPr>
          <w:b/>
          <w:i/>
        </w:rPr>
        <w:t>Культура и кинематография</w:t>
      </w:r>
      <w:r w:rsidR="0074289B" w:rsidRPr="00804572">
        <w:rPr>
          <w:b/>
          <w:i/>
        </w:rPr>
        <w:t>»</w:t>
      </w:r>
      <w:r w:rsidR="001232A7">
        <w:rPr>
          <w:b/>
          <w:i/>
        </w:rPr>
        <w:t xml:space="preserve"> (27,1%)</w:t>
      </w:r>
      <w:r w:rsidR="00D57392" w:rsidRPr="00804572">
        <w:rPr>
          <w:b/>
          <w:i/>
        </w:rPr>
        <w:t>, наименьшее</w:t>
      </w:r>
      <w:r w:rsidR="001232A7">
        <w:rPr>
          <w:b/>
          <w:i/>
        </w:rPr>
        <w:t xml:space="preserve"> -</w:t>
      </w:r>
      <w:r w:rsidR="00D57392" w:rsidRPr="00804572">
        <w:rPr>
          <w:b/>
          <w:i/>
        </w:rPr>
        <w:t xml:space="preserve"> по раздел</w:t>
      </w:r>
      <w:r w:rsidR="0099726F" w:rsidRPr="00804572">
        <w:rPr>
          <w:b/>
          <w:i/>
        </w:rPr>
        <w:t>у</w:t>
      </w:r>
      <w:r w:rsidR="00D57392" w:rsidRPr="00804572">
        <w:rPr>
          <w:b/>
          <w:i/>
        </w:rPr>
        <w:t xml:space="preserve"> </w:t>
      </w:r>
      <w:r w:rsidR="00DE0F4C" w:rsidRPr="00804572">
        <w:rPr>
          <w:b/>
          <w:i/>
        </w:rPr>
        <w:t>«Национальная безопасность и п</w:t>
      </w:r>
      <w:r w:rsidR="001232A7">
        <w:rPr>
          <w:b/>
          <w:i/>
        </w:rPr>
        <w:t>равоохранительная деятельность» (</w:t>
      </w:r>
      <w:r w:rsidR="00A03BA3" w:rsidRPr="00804572">
        <w:rPr>
          <w:b/>
          <w:i/>
        </w:rPr>
        <w:t>5,7</w:t>
      </w:r>
      <w:r w:rsidR="00DE0F4C" w:rsidRPr="00804572">
        <w:rPr>
          <w:b/>
          <w:i/>
        </w:rPr>
        <w:t>%</w:t>
      </w:r>
      <w:r w:rsidR="001232A7">
        <w:rPr>
          <w:b/>
          <w:i/>
        </w:rPr>
        <w:t>)</w:t>
      </w:r>
      <w:r w:rsidR="00DC4758" w:rsidRPr="00804572">
        <w:rPr>
          <w:b/>
          <w:i/>
        </w:rPr>
        <w:t>.</w:t>
      </w:r>
      <w:r w:rsidR="00035D61" w:rsidRPr="00804572">
        <w:rPr>
          <w:b/>
          <w:i/>
        </w:rPr>
        <w:t xml:space="preserve"> </w:t>
      </w:r>
      <w:r w:rsidR="00A03BA3" w:rsidRPr="00804572">
        <w:rPr>
          <w:b/>
          <w:i/>
        </w:rPr>
        <w:t>Низкий процент исполнения сложился по разделам: «Национальная экономика»</w:t>
      </w:r>
      <w:r w:rsidR="001232A7">
        <w:rPr>
          <w:b/>
          <w:i/>
        </w:rPr>
        <w:t xml:space="preserve"> (6,1%)</w:t>
      </w:r>
      <w:r w:rsidR="00A03BA3" w:rsidRPr="00804572">
        <w:rPr>
          <w:b/>
          <w:i/>
        </w:rPr>
        <w:t>, «Жилищно-коммунальное хозяйство»</w:t>
      </w:r>
      <w:r w:rsidR="001232A7">
        <w:rPr>
          <w:b/>
          <w:i/>
        </w:rPr>
        <w:t xml:space="preserve"> (6,4%)</w:t>
      </w:r>
      <w:r w:rsidR="00A03BA3" w:rsidRPr="00804572">
        <w:rPr>
          <w:b/>
          <w:i/>
        </w:rPr>
        <w:t>, «Физическая  культура и спорт»</w:t>
      </w:r>
      <w:r w:rsidR="001232A7">
        <w:rPr>
          <w:b/>
          <w:i/>
        </w:rPr>
        <w:t xml:space="preserve"> (8,3%)</w:t>
      </w:r>
      <w:r w:rsidR="00A03BA3" w:rsidRPr="00804572">
        <w:rPr>
          <w:b/>
          <w:i/>
        </w:rPr>
        <w:t xml:space="preserve">. </w:t>
      </w:r>
      <w:r w:rsidR="00A03BA3">
        <w:t xml:space="preserve"> </w:t>
      </w:r>
      <w:r w:rsidR="00035D61">
        <w:t>По разделу «Обслуживание государственного и муниципального долга»</w:t>
      </w:r>
      <w:r w:rsidR="00035D61" w:rsidRPr="00035D61">
        <w:t xml:space="preserve"> </w:t>
      </w:r>
      <w:r w:rsidR="002706C6">
        <w:t>расходы не  производились</w:t>
      </w:r>
      <w:r w:rsidR="00035D61">
        <w:t>.</w:t>
      </w:r>
    </w:p>
    <w:p w:rsidR="005F7CDC" w:rsidRPr="0039713E" w:rsidRDefault="00804572" w:rsidP="00804572">
      <w:pPr>
        <w:autoSpaceDE w:val="0"/>
        <w:autoSpaceDN w:val="0"/>
        <w:adjustRightInd w:val="0"/>
        <w:ind w:firstLine="709"/>
        <w:jc w:val="both"/>
      </w:pPr>
      <w:r w:rsidRPr="00A57033">
        <w:t xml:space="preserve">Согласно </w:t>
      </w:r>
      <w:r>
        <w:t>Решения</w:t>
      </w:r>
      <w:r w:rsidRPr="00A57033">
        <w:t xml:space="preserve"> о бюджете</w:t>
      </w:r>
      <w:r w:rsidRPr="004A2347">
        <w:t xml:space="preserve"> </w:t>
      </w:r>
      <w:r w:rsidRPr="000804C1">
        <w:t>муниципального обр</w:t>
      </w:r>
      <w:r>
        <w:t>азования – «город Тулун»,</w:t>
      </w:r>
      <w:r w:rsidRPr="00682E3D">
        <w:t xml:space="preserve"> </w:t>
      </w:r>
      <w:r w:rsidRPr="00A57033">
        <w:t>утвержден</w:t>
      </w:r>
      <w:r>
        <w:t xml:space="preserve">ного </w:t>
      </w:r>
      <w:r w:rsidRPr="00A57033">
        <w:t xml:space="preserve"> решением Думы городского округа от </w:t>
      </w:r>
      <w:r>
        <w:t>27.12.2018г. № 30</w:t>
      </w:r>
      <w:r w:rsidRPr="00C04607">
        <w:t>-ДГО</w:t>
      </w:r>
      <w:r>
        <w:t xml:space="preserve"> на 2019</w:t>
      </w:r>
      <w:r w:rsidR="00F42B77" w:rsidRPr="0039713E">
        <w:t xml:space="preserve"> год утверждены бюджетные ассигнования резервного фонда  Администрации городского округа муниципального образования – «город Тулун» в объеме  500</w:t>
      </w:r>
      <w:r w:rsidR="00F00ABF">
        <w:t>,0</w:t>
      </w:r>
      <w:r w:rsidR="00F42B77" w:rsidRPr="0039713E">
        <w:t xml:space="preserve"> </w:t>
      </w:r>
      <w:proofErr w:type="spellStart"/>
      <w:r w:rsidR="00F42B77" w:rsidRPr="0039713E">
        <w:t>тыс</w:t>
      </w:r>
      <w:proofErr w:type="gramStart"/>
      <w:r w:rsidR="00F42B77" w:rsidRPr="0039713E">
        <w:t>.р</w:t>
      </w:r>
      <w:proofErr w:type="gramEnd"/>
      <w:r w:rsidR="00F42B77" w:rsidRPr="0039713E">
        <w:t>уб</w:t>
      </w:r>
      <w:proofErr w:type="spellEnd"/>
      <w:r w:rsidR="00F42B77" w:rsidRPr="0039713E">
        <w:t>.</w:t>
      </w:r>
      <w:r w:rsidR="00D50667" w:rsidRPr="0039713E">
        <w:t xml:space="preserve">  Средства резервного фонда </w:t>
      </w:r>
      <w:r>
        <w:t>в 1 квартале 2019 года не использовались.</w:t>
      </w:r>
    </w:p>
    <w:p w:rsidR="00F80B24" w:rsidRDefault="00F6017B" w:rsidP="00655CB7">
      <w:pPr>
        <w:autoSpaceDE w:val="0"/>
        <w:autoSpaceDN w:val="0"/>
        <w:adjustRightInd w:val="0"/>
        <w:ind w:firstLine="709"/>
        <w:jc w:val="both"/>
      </w:pPr>
      <w:proofErr w:type="gramStart"/>
      <w:r w:rsidRPr="0039713E">
        <w:t>Поскольку</w:t>
      </w:r>
      <w:r w:rsidR="00682E3D" w:rsidRPr="0039713E">
        <w:t xml:space="preserve"> </w:t>
      </w:r>
      <w:r w:rsidRPr="0039713E">
        <w:t xml:space="preserve"> расходы местного бюджета</w:t>
      </w:r>
      <w:r w:rsidR="005F7CDC" w:rsidRPr="0039713E">
        <w:t xml:space="preserve"> на</w:t>
      </w:r>
      <w:r w:rsidR="005F7CDC" w:rsidRPr="0039713E">
        <w:rPr>
          <w:i/>
        </w:rPr>
        <w:t xml:space="preserve"> </w:t>
      </w:r>
      <w:r w:rsidR="00804572">
        <w:t>2019</w:t>
      </w:r>
      <w:r w:rsidR="005F7CDC" w:rsidRPr="0039713E">
        <w:t xml:space="preserve"> год</w:t>
      </w:r>
      <w:r w:rsidR="005F7CDC" w:rsidRPr="0039713E">
        <w:rPr>
          <w:i/>
          <w:color w:val="4F81BD"/>
        </w:rPr>
        <w:t xml:space="preserve"> </w:t>
      </w:r>
      <w:r w:rsidRPr="0039713E">
        <w:t xml:space="preserve">сформированы </w:t>
      </w:r>
      <w:r w:rsidR="005F7CDC" w:rsidRPr="0039713E">
        <w:t xml:space="preserve"> по программно-целевому принципу</w:t>
      </w:r>
      <w:r w:rsidR="00D87C6A">
        <w:t>,</w:t>
      </w:r>
      <w:r w:rsidR="008A1B1B" w:rsidRPr="0039713E">
        <w:t xml:space="preserve"> </w:t>
      </w:r>
      <w:r w:rsidR="005F7CDC" w:rsidRPr="0039713E">
        <w:t xml:space="preserve"> на основе 16 муниципальных программ,</w:t>
      </w:r>
      <w:r w:rsidR="0009405E" w:rsidRPr="0039713E">
        <w:t xml:space="preserve"> то основная</w:t>
      </w:r>
      <w:r w:rsidRPr="0039713E">
        <w:t xml:space="preserve"> доля расходов местного бюджета направлена на выполнение </w:t>
      </w:r>
      <w:r w:rsidR="00804572">
        <w:t xml:space="preserve">мероприятий в рамках </w:t>
      </w:r>
      <w:r w:rsidRPr="0039713E">
        <w:t>муниципальных программ</w:t>
      </w:r>
      <w:r w:rsidR="0047566C" w:rsidRPr="0039713E">
        <w:t xml:space="preserve"> города Тулуна</w:t>
      </w:r>
      <w:r w:rsidRPr="0039713E">
        <w:t xml:space="preserve">, которая </w:t>
      </w:r>
      <w:r w:rsidR="008434BF">
        <w:t xml:space="preserve">в отчетном периоде </w:t>
      </w:r>
      <w:r w:rsidRPr="0039713E">
        <w:t xml:space="preserve">составляет </w:t>
      </w:r>
      <w:r w:rsidR="009C1553">
        <w:t>8</w:t>
      </w:r>
      <w:r w:rsidR="0025544A">
        <w:t>9,8</w:t>
      </w:r>
      <w:r w:rsidR="0047566C" w:rsidRPr="0039713E">
        <w:t>% в</w:t>
      </w:r>
      <w:r w:rsidRPr="0039713E">
        <w:t xml:space="preserve"> общих</w:t>
      </w:r>
      <w:r w:rsidR="00682E3D" w:rsidRPr="0039713E">
        <w:t>,</w:t>
      </w:r>
      <w:r w:rsidRPr="0039713E">
        <w:t xml:space="preserve"> </w:t>
      </w:r>
      <w:r w:rsidR="0047566C" w:rsidRPr="0039713E">
        <w:t xml:space="preserve">утвержденных расходах местного бюджета, соответственно </w:t>
      </w:r>
      <w:r w:rsidR="00682E3D" w:rsidRPr="0039713E">
        <w:t xml:space="preserve"> </w:t>
      </w:r>
      <w:r w:rsidR="0047566C" w:rsidRPr="0039713E">
        <w:t>неп</w:t>
      </w:r>
      <w:r w:rsidR="0025544A">
        <w:t>рограммные расходы составляют 10,2</w:t>
      </w:r>
      <w:r w:rsidR="0047566C" w:rsidRPr="0039713E">
        <w:t xml:space="preserve">% </w:t>
      </w:r>
      <w:r w:rsidRPr="0039713E">
        <w:t xml:space="preserve"> </w:t>
      </w:r>
      <w:r w:rsidR="0047566C" w:rsidRPr="0039713E">
        <w:t>в общих</w:t>
      </w:r>
      <w:r w:rsidR="00682E3D" w:rsidRPr="0039713E">
        <w:t>,</w:t>
      </w:r>
      <w:r w:rsidR="0047566C" w:rsidRPr="0039713E">
        <w:t xml:space="preserve"> утвержденных расходах местного бюджета</w:t>
      </w:r>
      <w:r w:rsidRPr="0039713E">
        <w:t>.</w:t>
      </w:r>
      <w:proofErr w:type="gramEnd"/>
      <w:r w:rsidR="008434BF">
        <w:t xml:space="preserve"> Доля расходов по муниципальным программам города Тулуна в общих расходах за 1 квартал 2019 года составила 88,4%, по </w:t>
      </w:r>
      <w:r w:rsidR="008434BF" w:rsidRPr="0039713E">
        <w:t>неп</w:t>
      </w:r>
      <w:r w:rsidR="008434BF">
        <w:t>рограммным расходам  - 11,6%.</w:t>
      </w:r>
    </w:p>
    <w:p w:rsidR="00D87C6A" w:rsidRDefault="00F6017B" w:rsidP="008434BF">
      <w:pPr>
        <w:autoSpaceDE w:val="0"/>
        <w:autoSpaceDN w:val="0"/>
        <w:adjustRightInd w:val="0"/>
        <w:ind w:firstLine="709"/>
        <w:jc w:val="both"/>
      </w:pPr>
      <w:r w:rsidRPr="0039713E">
        <w:t xml:space="preserve"> </w:t>
      </w:r>
    </w:p>
    <w:p w:rsidR="00D87C6A" w:rsidRPr="0039713E" w:rsidRDefault="00D87C6A" w:rsidP="00655CB7">
      <w:pPr>
        <w:autoSpaceDE w:val="0"/>
        <w:autoSpaceDN w:val="0"/>
        <w:adjustRightInd w:val="0"/>
        <w:ind w:firstLine="709"/>
        <w:jc w:val="both"/>
      </w:pPr>
    </w:p>
    <w:p w:rsidR="005A0F30" w:rsidRPr="0039713E" w:rsidRDefault="005A0F30" w:rsidP="00935D16">
      <w:pPr>
        <w:ind w:firstLine="709"/>
        <w:jc w:val="both"/>
      </w:pPr>
      <w:r w:rsidRPr="0039713E">
        <w:t xml:space="preserve">Анализ исполнения муниципальных программ города </w:t>
      </w:r>
      <w:r w:rsidR="005F7CDC" w:rsidRPr="0039713E">
        <w:t xml:space="preserve">Тулуна </w:t>
      </w:r>
      <w:r w:rsidR="008C3DDA" w:rsidRPr="0039713E">
        <w:t xml:space="preserve"> </w:t>
      </w:r>
      <w:r w:rsidR="00D943C9" w:rsidRPr="0039713E">
        <w:t xml:space="preserve">и непрограммных расходов </w:t>
      </w:r>
      <w:r w:rsidR="009C1553">
        <w:t>за 1 квартал 2019</w:t>
      </w:r>
      <w:r w:rsidR="008C3DDA" w:rsidRPr="0039713E">
        <w:t xml:space="preserve"> года </w:t>
      </w:r>
      <w:r w:rsidR="00D943C9" w:rsidRPr="0039713E">
        <w:t>при</w:t>
      </w:r>
      <w:r w:rsidR="008C3DDA" w:rsidRPr="0039713E">
        <w:t>веден</w:t>
      </w:r>
      <w:r w:rsidR="005F7CDC" w:rsidRPr="0039713E">
        <w:t xml:space="preserve"> в таблице № 4.</w:t>
      </w:r>
    </w:p>
    <w:p w:rsidR="005A0F30" w:rsidRDefault="005A0F30" w:rsidP="0089377F">
      <w:pPr>
        <w:ind w:firstLine="567"/>
        <w:jc w:val="both"/>
      </w:pPr>
    </w:p>
    <w:p w:rsidR="00D87C6A" w:rsidRDefault="00D87C6A" w:rsidP="0089377F">
      <w:pPr>
        <w:ind w:firstLine="567"/>
        <w:jc w:val="both"/>
      </w:pPr>
    </w:p>
    <w:p w:rsidR="00D87C6A" w:rsidRDefault="00D87C6A" w:rsidP="0089377F">
      <w:pPr>
        <w:ind w:firstLine="567"/>
        <w:jc w:val="both"/>
      </w:pPr>
    </w:p>
    <w:p w:rsidR="00D87C6A" w:rsidRDefault="00D87C6A" w:rsidP="008434BF">
      <w:pPr>
        <w:jc w:val="both"/>
      </w:pPr>
    </w:p>
    <w:p w:rsidR="008434BF" w:rsidRDefault="008434BF" w:rsidP="008434BF">
      <w:pPr>
        <w:jc w:val="both"/>
      </w:pPr>
    </w:p>
    <w:p w:rsidR="005A0F30" w:rsidRPr="005F7CDC" w:rsidRDefault="005F7CDC" w:rsidP="005A0F30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№ 4</w:t>
      </w:r>
      <w:r w:rsidR="005A0F30" w:rsidRPr="005F7CDC">
        <w:rPr>
          <w:b/>
          <w:sz w:val="20"/>
          <w:szCs w:val="20"/>
        </w:rPr>
        <w:t xml:space="preserve"> (тыс.</w:t>
      </w:r>
      <w:r w:rsidR="00C703B3" w:rsidRPr="005F7CDC">
        <w:rPr>
          <w:b/>
          <w:sz w:val="20"/>
          <w:szCs w:val="20"/>
        </w:rPr>
        <w:t xml:space="preserve"> </w:t>
      </w:r>
      <w:r w:rsidR="005A0F30" w:rsidRPr="005F7CDC">
        <w:rPr>
          <w:b/>
          <w:sz w:val="20"/>
          <w:szCs w:val="20"/>
        </w:rPr>
        <w:t>руб</w:t>
      </w:r>
      <w:r w:rsidRPr="005F7CDC">
        <w:rPr>
          <w:b/>
          <w:sz w:val="20"/>
          <w:szCs w:val="20"/>
        </w:rPr>
        <w:t>.</w:t>
      </w:r>
      <w:r w:rsidR="005A0F30" w:rsidRPr="005F7CDC">
        <w:rPr>
          <w:b/>
          <w:sz w:val="20"/>
          <w:szCs w:val="20"/>
        </w:rPr>
        <w:t>)</w:t>
      </w: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1410"/>
        <w:gridCol w:w="1390"/>
        <w:gridCol w:w="1181"/>
        <w:gridCol w:w="1200"/>
      </w:tblGrid>
      <w:tr w:rsidR="0052223D" w:rsidRPr="00A57033" w:rsidTr="0052223D">
        <w:trPr>
          <w:trHeight w:val="900"/>
        </w:trPr>
        <w:tc>
          <w:tcPr>
            <w:tcW w:w="4542" w:type="dxa"/>
            <w:shd w:val="clear" w:color="auto" w:fill="auto"/>
            <w:vAlign w:val="center"/>
            <w:hideMark/>
          </w:tcPr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  <w:r w:rsidRPr="00EB54AD">
              <w:rPr>
                <w:b/>
                <w:sz w:val="18"/>
                <w:szCs w:val="18"/>
              </w:rPr>
              <w:t>Наим</w:t>
            </w:r>
            <w:r>
              <w:rPr>
                <w:b/>
                <w:sz w:val="18"/>
                <w:szCs w:val="18"/>
              </w:rPr>
              <w:t>енование показателя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52223D" w:rsidRPr="00EB54AD" w:rsidRDefault="0052223D" w:rsidP="00EB54AD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B54AD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52223D" w:rsidRPr="00EB54AD" w:rsidRDefault="0052223D" w:rsidP="008A1B1B">
            <w:pPr>
              <w:jc w:val="center"/>
              <w:rPr>
                <w:b/>
                <w:sz w:val="18"/>
                <w:szCs w:val="18"/>
              </w:rPr>
            </w:pPr>
            <w:r w:rsidRPr="00EB54AD">
              <w:rPr>
                <w:sz w:val="18"/>
                <w:szCs w:val="18"/>
                <w:lang w:eastAsia="en-US"/>
              </w:rPr>
              <w:t>(с учет</w:t>
            </w:r>
            <w:r w:rsidR="0025544A">
              <w:rPr>
                <w:sz w:val="18"/>
                <w:szCs w:val="18"/>
                <w:lang w:eastAsia="en-US"/>
              </w:rPr>
              <w:t>ом  внесенных изменений на 01.04.2019</w:t>
            </w:r>
            <w:r w:rsidRPr="00EB54AD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52223D" w:rsidRPr="00A63A90" w:rsidRDefault="0052223D" w:rsidP="00EB54AD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52223D" w:rsidRPr="006A1F86" w:rsidRDefault="0052223D" w:rsidP="00AB5549">
            <w:pPr>
              <w:jc w:val="center"/>
              <w:rPr>
                <w:sz w:val="18"/>
                <w:szCs w:val="18"/>
              </w:rPr>
            </w:pPr>
            <w:r w:rsidRPr="006A1F86">
              <w:rPr>
                <w:sz w:val="18"/>
                <w:szCs w:val="18"/>
              </w:rPr>
              <w:t>% исполнения</w:t>
            </w:r>
          </w:p>
        </w:tc>
        <w:tc>
          <w:tcPr>
            <w:tcW w:w="1085" w:type="dxa"/>
          </w:tcPr>
          <w:p w:rsidR="008D5264" w:rsidRDefault="00D92A7A" w:rsidP="00AB5549">
            <w:pPr>
              <w:jc w:val="center"/>
              <w:rPr>
                <w:sz w:val="18"/>
                <w:szCs w:val="18"/>
              </w:rPr>
            </w:pPr>
            <w:r w:rsidRPr="00D92A7A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 xml:space="preserve">в фактических расходах, </w:t>
            </w:r>
          </w:p>
          <w:p w:rsidR="0052223D" w:rsidRPr="00D92A7A" w:rsidRDefault="00D92A7A" w:rsidP="00AB5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</w:tr>
      <w:tr w:rsidR="0052223D" w:rsidRPr="00A57033" w:rsidTr="0052223D">
        <w:trPr>
          <w:trHeight w:val="9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 xml:space="preserve">Муниципальная программа города Тулуна «Совершенствование механизмов экономического </w:t>
            </w:r>
          </w:p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развития муниципального образования – «город Тулун»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3 664,6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5E020F" w:rsidRDefault="005E020F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2223D" w:rsidRPr="00A57033" w:rsidTr="003452BC">
        <w:trPr>
          <w:trHeight w:val="241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«Труд»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672,6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085" w:type="dxa"/>
          </w:tcPr>
          <w:p w:rsidR="0052223D" w:rsidRDefault="005E020F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«Образование»</w:t>
            </w:r>
          </w:p>
        </w:tc>
        <w:tc>
          <w:tcPr>
            <w:tcW w:w="1412" w:type="dxa"/>
            <w:shd w:val="clear" w:color="auto" w:fill="auto"/>
          </w:tcPr>
          <w:p w:rsidR="003452BC" w:rsidRDefault="003452BC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633 078,2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147 240,2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E020F" w:rsidRDefault="005E020F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«Культура»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38 195,4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10 197,9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E020F" w:rsidRDefault="005E020F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«Молодежь»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52223D" w:rsidRPr="00A57033" w:rsidTr="0052223D">
        <w:trPr>
          <w:trHeight w:val="436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«Доступное жилье»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2 587,9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</w:tc>
      </w:tr>
      <w:tr w:rsidR="0052223D" w:rsidRPr="00A57033" w:rsidTr="0052223D">
        <w:trPr>
          <w:trHeight w:val="387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59 864,9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5 034,5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8F1CC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52223D" w:rsidRPr="00A57033" w:rsidTr="0052223D">
        <w:trPr>
          <w:trHeight w:val="337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712,7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480,2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452BC" w:rsidRPr="00E344BA" w:rsidRDefault="003452B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8F1CC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2223D" w:rsidRPr="00A57033" w:rsidTr="0052223D">
        <w:trPr>
          <w:trHeight w:val="44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95B4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1 443,3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95B4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121,1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95B4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52223D" w:rsidRPr="00A57033" w:rsidTr="0052223D">
        <w:trPr>
          <w:trHeight w:val="684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95B43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58 155,8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14 694,9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52223D" w:rsidRPr="00A57033" w:rsidTr="0052223D">
        <w:trPr>
          <w:trHeight w:val="403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52223D" w:rsidRPr="00A57033" w:rsidTr="0052223D">
        <w:trPr>
          <w:trHeight w:val="366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72 203,1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5 326,4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2223D" w:rsidRPr="00A57033" w:rsidTr="0052223D">
        <w:trPr>
          <w:trHeight w:val="45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5E020F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105B">
              <w:rPr>
                <w:sz w:val="20"/>
                <w:szCs w:val="20"/>
              </w:rPr>
              <w:t> 458,5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52223D" w:rsidRPr="00A57033" w:rsidTr="0052223D">
        <w:trPr>
          <w:trHeight w:val="40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«Городские дороги»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92 903,8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4 969,8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662EF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="008F1CC4">
              <w:rPr>
                <w:sz w:val="20"/>
                <w:szCs w:val="20"/>
              </w:rPr>
              <w:t>5</w:t>
            </w:r>
          </w:p>
        </w:tc>
      </w:tr>
      <w:tr w:rsidR="0052223D" w:rsidRPr="00A57033" w:rsidTr="0052223D">
        <w:trPr>
          <w:trHeight w:val="359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«Градостроительство»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3 027,3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Pr="00E344BA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</w:tc>
      </w:tr>
      <w:tr w:rsidR="0052223D" w:rsidRPr="00A57033" w:rsidTr="0052223D">
        <w:trPr>
          <w:trHeight w:val="465"/>
        </w:trPr>
        <w:tc>
          <w:tcPr>
            <w:tcW w:w="4542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412" w:type="dxa"/>
            <w:shd w:val="clear" w:color="auto" w:fill="auto"/>
          </w:tcPr>
          <w:p w:rsidR="0030105B" w:rsidRDefault="0030105B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9 485,8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30105B" w:rsidRDefault="0030105B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85" w:type="dxa"/>
          </w:tcPr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</w:p>
          <w:p w:rsidR="00662EFA" w:rsidRDefault="008F1CC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52223D" w:rsidRPr="00A57033" w:rsidTr="0052223D">
        <w:trPr>
          <w:trHeight w:val="285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 w:rsidRPr="001E5E4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муниципальные программы</w:t>
            </w:r>
            <w:r w:rsidRPr="001E5E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825541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979 548,9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825541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189 206,7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825541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</w:t>
            </w:r>
          </w:p>
        </w:tc>
        <w:tc>
          <w:tcPr>
            <w:tcW w:w="1085" w:type="dxa"/>
          </w:tcPr>
          <w:p w:rsidR="00D92A7A" w:rsidRDefault="00662EF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</w:t>
            </w:r>
          </w:p>
        </w:tc>
      </w:tr>
      <w:tr w:rsidR="0052223D" w:rsidRPr="00A57033" w:rsidTr="0052223D">
        <w:trPr>
          <w:trHeight w:val="249"/>
        </w:trPr>
        <w:tc>
          <w:tcPr>
            <w:tcW w:w="4542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shd w:val="clear" w:color="auto" w:fill="auto"/>
          </w:tcPr>
          <w:p w:rsidR="0052223D" w:rsidRDefault="0030105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110 712,8</w:t>
            </w:r>
          </w:p>
        </w:tc>
        <w:tc>
          <w:tcPr>
            <w:tcW w:w="1397" w:type="dxa"/>
            <w:shd w:val="clear" w:color="auto" w:fill="auto"/>
          </w:tcPr>
          <w:p w:rsidR="0052223D" w:rsidRDefault="0030105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24 929,7</w:t>
            </w:r>
          </w:p>
        </w:tc>
        <w:tc>
          <w:tcPr>
            <w:tcW w:w="1183" w:type="dxa"/>
            <w:shd w:val="clear" w:color="auto" w:fill="auto"/>
          </w:tcPr>
          <w:p w:rsidR="0052223D" w:rsidRDefault="0030105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1085" w:type="dxa"/>
          </w:tcPr>
          <w:p w:rsidR="0052223D" w:rsidRDefault="00662EF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</w:tr>
      <w:tr w:rsidR="0052223D" w:rsidRPr="00A57033" w:rsidTr="0052223D">
        <w:trPr>
          <w:trHeight w:val="511"/>
        </w:trPr>
        <w:tc>
          <w:tcPr>
            <w:tcW w:w="4542" w:type="dxa"/>
            <w:shd w:val="clear" w:color="auto" w:fill="auto"/>
            <w:vAlign w:val="center"/>
          </w:tcPr>
          <w:p w:rsidR="0052223D" w:rsidRPr="005D1C13" w:rsidRDefault="0052223D" w:rsidP="00AA0BAB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30105B" w:rsidRDefault="0030105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1 090 261,7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30105B" w:rsidRDefault="0030105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214 136,4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30105B" w:rsidRDefault="0030105B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D92A7A" w:rsidRDefault="00D92A7A" w:rsidP="00AB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47566C" w:rsidRDefault="0047566C" w:rsidP="0089377F">
      <w:pPr>
        <w:ind w:firstLine="567"/>
        <w:jc w:val="both"/>
      </w:pPr>
    </w:p>
    <w:p w:rsidR="00F80B24" w:rsidRDefault="00F80B24" w:rsidP="0047566C">
      <w:pPr>
        <w:ind w:firstLine="709"/>
        <w:jc w:val="both"/>
      </w:pPr>
    </w:p>
    <w:p w:rsidR="0047566C" w:rsidRPr="0039713E" w:rsidRDefault="00DD0E56" w:rsidP="0047566C">
      <w:pPr>
        <w:ind w:firstLine="709"/>
        <w:jc w:val="both"/>
      </w:pPr>
      <w:r w:rsidRPr="0039713E">
        <w:t>Из таблицы № 4</w:t>
      </w:r>
      <w:r w:rsidR="0047566C" w:rsidRPr="0039713E">
        <w:t xml:space="preserve"> видно, что </w:t>
      </w:r>
      <w:r w:rsidR="00160453">
        <w:t xml:space="preserve">расходы по </w:t>
      </w:r>
      <w:r w:rsidR="0047566C" w:rsidRPr="0039713E">
        <w:t>муни</w:t>
      </w:r>
      <w:r w:rsidR="00160453">
        <w:t>ципальным программам</w:t>
      </w:r>
      <w:r w:rsidR="0047566C" w:rsidRPr="0039713E">
        <w:t xml:space="preserve"> города Тулуна </w:t>
      </w:r>
      <w:r w:rsidR="005E020F">
        <w:t>по состоянию на 01.04.2019</w:t>
      </w:r>
      <w:r w:rsidR="00AD5B42">
        <w:t>г. исполнены на 19,3</w:t>
      </w:r>
      <w:r w:rsidR="003134F6">
        <w:t xml:space="preserve">% </w:t>
      </w:r>
      <w:r w:rsidR="00160453" w:rsidRPr="0039713E">
        <w:t xml:space="preserve">от  утвержденного объема </w:t>
      </w:r>
      <w:r w:rsidR="00160453">
        <w:t xml:space="preserve">бюджетных </w:t>
      </w:r>
      <w:r w:rsidR="00160453" w:rsidRPr="0039713E">
        <w:t>назначений</w:t>
      </w:r>
      <w:r w:rsidR="003134F6">
        <w:t xml:space="preserve"> и составляют в сумме </w:t>
      </w:r>
      <w:r w:rsidR="0047566C" w:rsidRPr="0039713E">
        <w:t xml:space="preserve"> </w:t>
      </w:r>
      <w:r w:rsidR="00AD5B42">
        <w:t>189 206,7</w:t>
      </w:r>
      <w:r w:rsidR="0047566C" w:rsidRPr="0039713E">
        <w:t xml:space="preserve"> </w:t>
      </w:r>
      <w:proofErr w:type="spellStart"/>
      <w:r w:rsidR="001736D6" w:rsidRPr="0039713E">
        <w:t>тыс</w:t>
      </w:r>
      <w:proofErr w:type="gramStart"/>
      <w:r w:rsidR="001736D6" w:rsidRPr="0039713E">
        <w:t>.р</w:t>
      </w:r>
      <w:proofErr w:type="gramEnd"/>
      <w:r w:rsidR="001736D6" w:rsidRPr="0039713E">
        <w:t>уб</w:t>
      </w:r>
      <w:proofErr w:type="spellEnd"/>
      <w:r w:rsidR="0047566C" w:rsidRPr="0039713E">
        <w:t xml:space="preserve">. </w:t>
      </w:r>
    </w:p>
    <w:p w:rsidR="00375C9D" w:rsidRPr="00AF4ACF" w:rsidRDefault="0047566C" w:rsidP="000C7074">
      <w:pPr>
        <w:ind w:firstLine="709"/>
        <w:jc w:val="both"/>
        <w:rPr>
          <w:b/>
          <w:i/>
        </w:rPr>
      </w:pPr>
      <w:r w:rsidRPr="001232A7">
        <w:rPr>
          <w:b/>
          <w:i/>
        </w:rPr>
        <w:t>Наибольшее испол</w:t>
      </w:r>
      <w:r w:rsidR="00DD0E56" w:rsidRPr="001232A7">
        <w:rPr>
          <w:b/>
          <w:i/>
        </w:rPr>
        <w:t>нение сложилось по муниципальным программам</w:t>
      </w:r>
      <w:r w:rsidRPr="001232A7">
        <w:rPr>
          <w:b/>
          <w:i/>
        </w:rPr>
        <w:t xml:space="preserve"> </w:t>
      </w:r>
      <w:r w:rsidR="00375C9D" w:rsidRPr="001232A7">
        <w:rPr>
          <w:b/>
          <w:i/>
        </w:rPr>
        <w:t>«Охрана здоровья населения»</w:t>
      </w:r>
      <w:r w:rsidR="00DD0E56" w:rsidRPr="001232A7">
        <w:rPr>
          <w:b/>
          <w:i/>
        </w:rPr>
        <w:t xml:space="preserve"> </w:t>
      </w:r>
      <w:r w:rsidR="00375C9D" w:rsidRPr="001232A7">
        <w:rPr>
          <w:b/>
          <w:i/>
        </w:rPr>
        <w:t>(67,4</w:t>
      </w:r>
      <w:r w:rsidR="00DD0E56" w:rsidRPr="001232A7">
        <w:rPr>
          <w:b/>
          <w:i/>
        </w:rPr>
        <w:t>%)</w:t>
      </w:r>
      <w:r w:rsidR="00375C9D" w:rsidRPr="001232A7">
        <w:rPr>
          <w:b/>
          <w:i/>
        </w:rPr>
        <w:t>, исполнение менее 10% сложилось по муниципальным программам:</w:t>
      </w:r>
      <w:r w:rsidR="00375C9D" w:rsidRPr="001232A7">
        <w:rPr>
          <w:b/>
          <w:i/>
          <w:sz w:val="18"/>
          <w:szCs w:val="18"/>
        </w:rPr>
        <w:t xml:space="preserve"> </w:t>
      </w:r>
      <w:r w:rsidR="00375C9D" w:rsidRPr="001232A7">
        <w:rPr>
          <w:b/>
          <w:i/>
        </w:rPr>
        <w:t>«Формирование современной городской среды» (0,8%), «Молодежь» (2,5%), «Охрана окружающей среды» (4,2%), «Городские дороги» (5,3%), «Жилищно-коммунальное хозяйство» (7,4%), «Физическая культура и спорт» (8,4%), «Обеспечение комплексных мер безопасности» (8,4%).</w:t>
      </w:r>
      <w:r w:rsidR="00AF4ACF">
        <w:rPr>
          <w:b/>
          <w:i/>
        </w:rPr>
        <w:t xml:space="preserve"> </w:t>
      </w:r>
      <w:r w:rsidR="00AF4ACF" w:rsidRPr="00AF4ACF">
        <w:rPr>
          <w:b/>
          <w:i/>
        </w:rPr>
        <w:t>По муниципальным программам «Доступное жилье» и «Градостроительство» исполнение составило 0%.</w:t>
      </w:r>
    </w:p>
    <w:p w:rsidR="00F80B24" w:rsidRDefault="00473C69" w:rsidP="00AD2306">
      <w:pPr>
        <w:ind w:firstLine="567"/>
        <w:jc w:val="both"/>
      </w:pPr>
      <w:r w:rsidRPr="0039713E">
        <w:lastRenderedPageBreak/>
        <w:t>Исполнение по н</w:t>
      </w:r>
      <w:r w:rsidR="00731195" w:rsidRPr="0039713E">
        <w:t>е</w:t>
      </w:r>
      <w:r w:rsidRPr="0039713E">
        <w:t>программным</w:t>
      </w:r>
      <w:r w:rsidR="00160453">
        <w:t xml:space="preserve"> расходам</w:t>
      </w:r>
      <w:r w:rsidR="00AD5B42">
        <w:t xml:space="preserve"> </w:t>
      </w:r>
      <w:r w:rsidR="00160453">
        <w:t xml:space="preserve">по состоянию на 01.04.2019г. </w:t>
      </w:r>
      <w:r w:rsidR="00731195" w:rsidRPr="0039713E">
        <w:t xml:space="preserve"> </w:t>
      </w:r>
      <w:r w:rsidR="005E020F">
        <w:t>составило</w:t>
      </w:r>
      <w:r w:rsidR="00160453">
        <w:t xml:space="preserve"> 24 929,7</w:t>
      </w:r>
      <w:r w:rsidR="00731195" w:rsidRPr="0039713E">
        <w:t xml:space="preserve"> </w:t>
      </w:r>
      <w:proofErr w:type="spellStart"/>
      <w:r w:rsidR="00731195" w:rsidRPr="0039713E">
        <w:t>тыс</w:t>
      </w:r>
      <w:proofErr w:type="gramStart"/>
      <w:r w:rsidR="00731195" w:rsidRPr="0039713E">
        <w:t>.р</w:t>
      </w:r>
      <w:proofErr w:type="gramEnd"/>
      <w:r w:rsidR="00731195" w:rsidRPr="0039713E">
        <w:t>уб</w:t>
      </w:r>
      <w:proofErr w:type="spellEnd"/>
      <w:r w:rsidR="00731195" w:rsidRPr="0039713E">
        <w:t>.</w:t>
      </w:r>
      <w:r w:rsidR="00160453">
        <w:t xml:space="preserve"> или 22,5</w:t>
      </w:r>
      <w:r w:rsidR="00FD6AD6" w:rsidRPr="0039713E">
        <w:t xml:space="preserve">% </w:t>
      </w:r>
      <w:r w:rsidRPr="0039713E">
        <w:t xml:space="preserve"> </w:t>
      </w:r>
      <w:r w:rsidR="00FD6AD6" w:rsidRPr="0039713E">
        <w:t>от</w:t>
      </w:r>
      <w:r w:rsidR="00D14DBF" w:rsidRPr="0039713E">
        <w:t xml:space="preserve">  утвержденного объема </w:t>
      </w:r>
      <w:r w:rsidR="00160453">
        <w:t xml:space="preserve">бюджетных </w:t>
      </w:r>
      <w:r w:rsidR="00D14DBF" w:rsidRPr="0039713E">
        <w:t>назначений.</w:t>
      </w:r>
    </w:p>
    <w:p w:rsidR="00AD2306" w:rsidRDefault="00AD2306" w:rsidP="00AD2306">
      <w:pPr>
        <w:ind w:firstLine="567"/>
        <w:jc w:val="both"/>
      </w:pPr>
    </w:p>
    <w:p w:rsidR="00A41FFA" w:rsidRDefault="00A41FFA" w:rsidP="00A41FFA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>
        <w:t xml:space="preserve">исполнения </w:t>
      </w:r>
      <w:r w:rsidRPr="000804C1">
        <w:t xml:space="preserve"> бюджета муниципального образования – «город Тулун» </w:t>
      </w:r>
      <w:r>
        <w:t xml:space="preserve">по расходам </w:t>
      </w:r>
      <w:r w:rsidR="00275120">
        <w:t xml:space="preserve">(доли) </w:t>
      </w:r>
      <w:r w:rsidR="00BE6F5F">
        <w:t>за 1 квартал  2019</w:t>
      </w:r>
      <w:r w:rsidRPr="000804C1">
        <w:t xml:space="preserve"> года  представлена</w:t>
      </w:r>
      <w:r>
        <w:t xml:space="preserve"> на рисунке № 2.</w:t>
      </w:r>
    </w:p>
    <w:p w:rsidR="00C7299B" w:rsidRDefault="00C7299B" w:rsidP="00A41FFA">
      <w:pPr>
        <w:autoSpaceDE w:val="0"/>
        <w:autoSpaceDN w:val="0"/>
        <w:adjustRightInd w:val="0"/>
        <w:ind w:firstLine="540"/>
        <w:jc w:val="both"/>
      </w:pPr>
    </w:p>
    <w:p w:rsidR="00F80B24" w:rsidRDefault="00F80B24" w:rsidP="00F80B24">
      <w:pPr>
        <w:autoSpaceDE w:val="0"/>
        <w:autoSpaceDN w:val="0"/>
        <w:adjustRightInd w:val="0"/>
        <w:jc w:val="both"/>
      </w:pPr>
    </w:p>
    <w:p w:rsidR="00077538" w:rsidRPr="002A033F" w:rsidRDefault="00F80B24" w:rsidP="00F80B2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t xml:space="preserve">        </w:t>
      </w:r>
      <w:r w:rsidR="00624DC0">
        <w:rPr>
          <w:b/>
          <w:sz w:val="20"/>
          <w:szCs w:val="20"/>
        </w:rPr>
        <w:t xml:space="preserve"> </w:t>
      </w:r>
      <w:r w:rsidR="00C7299B" w:rsidRPr="002A033F">
        <w:rPr>
          <w:b/>
          <w:sz w:val="20"/>
          <w:szCs w:val="20"/>
        </w:rPr>
        <w:t>Рисунок № 2</w:t>
      </w:r>
    </w:p>
    <w:p w:rsidR="00077538" w:rsidRDefault="00077538" w:rsidP="00A41FFA">
      <w:pPr>
        <w:autoSpaceDE w:val="0"/>
        <w:autoSpaceDN w:val="0"/>
        <w:adjustRightInd w:val="0"/>
        <w:ind w:firstLine="540"/>
        <w:jc w:val="both"/>
      </w:pPr>
    </w:p>
    <w:p w:rsidR="00606B39" w:rsidRPr="00606B39" w:rsidRDefault="00FE7A65" w:rsidP="00606B39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РАСХОДЫ  за 1 квартал  2019</w:t>
      </w:r>
      <w:r w:rsidR="00606B39" w:rsidRPr="00606B39">
        <w:rPr>
          <w:b/>
          <w:sz w:val="32"/>
          <w:szCs w:val="32"/>
        </w:rPr>
        <w:t xml:space="preserve"> года</w:t>
      </w:r>
    </w:p>
    <w:p w:rsidR="00A41FFA" w:rsidRPr="000804C1" w:rsidRDefault="00624DC0" w:rsidP="00854910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 wp14:anchorId="10332B92" wp14:editId="161B3252">
            <wp:extent cx="5692537" cy="4096301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1FFA" w:rsidRDefault="00A41FFA" w:rsidP="0089377F">
      <w:pPr>
        <w:ind w:firstLine="567"/>
        <w:jc w:val="both"/>
      </w:pPr>
    </w:p>
    <w:p w:rsidR="005940C0" w:rsidRDefault="005940C0" w:rsidP="0089377F">
      <w:pPr>
        <w:ind w:firstLine="567"/>
        <w:jc w:val="both"/>
      </w:pPr>
    </w:p>
    <w:p w:rsidR="00D96A4A" w:rsidRPr="0039713E" w:rsidRDefault="00D96A4A" w:rsidP="0089377F">
      <w:pPr>
        <w:ind w:firstLine="567"/>
        <w:jc w:val="both"/>
      </w:pPr>
    </w:p>
    <w:p w:rsidR="00A41FFA" w:rsidRPr="0071623D" w:rsidRDefault="00A41FFA" w:rsidP="00A41FFA">
      <w:pPr>
        <w:ind w:firstLine="709"/>
        <w:jc w:val="both"/>
      </w:pPr>
      <w:r>
        <w:t>Наибольшую</w:t>
      </w:r>
      <w:r w:rsidR="00972D14">
        <w:t xml:space="preserve"> долю</w:t>
      </w:r>
      <w:r w:rsidRPr="0039713E">
        <w:t xml:space="preserve"> в структуре  </w:t>
      </w:r>
      <w:r w:rsidR="00430063">
        <w:t>исполнения</w:t>
      </w:r>
      <w:r w:rsidRPr="0039713E">
        <w:t xml:space="preserve"> местного бюджета </w:t>
      </w:r>
      <w:r w:rsidR="00430063">
        <w:t xml:space="preserve">по расходам </w:t>
      </w:r>
      <w:r w:rsidRPr="0039713E">
        <w:t>составляют расходы на выполнение  муниципальной программы города Тулуна «Образование»</w:t>
      </w:r>
      <w:r w:rsidR="00972D14" w:rsidRPr="00972D14">
        <w:t xml:space="preserve"> </w:t>
      </w:r>
      <w:r w:rsidR="00972D14">
        <w:t>(68,8</w:t>
      </w:r>
      <w:r w:rsidR="00972D14" w:rsidRPr="0039713E">
        <w:t>%)</w:t>
      </w:r>
      <w:r>
        <w:t xml:space="preserve">, наименьшую </w:t>
      </w:r>
      <w:r w:rsidR="009259B6">
        <w:t>долю</w:t>
      </w:r>
      <w:r>
        <w:t xml:space="preserve"> </w:t>
      </w:r>
      <w:r w:rsidRPr="0039713E">
        <w:t>составляют расх</w:t>
      </w:r>
      <w:r w:rsidR="00BA6A22">
        <w:t>оды на выполнение  муниципальных программ</w:t>
      </w:r>
      <w:r w:rsidRPr="0039713E">
        <w:t xml:space="preserve"> города Тулуна</w:t>
      </w:r>
      <w:r>
        <w:t xml:space="preserve"> </w:t>
      </w:r>
      <w:r w:rsidRPr="009259B6">
        <w:t>«</w:t>
      </w:r>
      <w:r w:rsidR="009259B6" w:rsidRPr="009259B6">
        <w:t>Молодежь»</w:t>
      </w:r>
      <w:r w:rsidR="00972D14">
        <w:t xml:space="preserve"> (0,01</w:t>
      </w:r>
      <w:r w:rsidR="009259B6">
        <w:t>%)</w:t>
      </w:r>
      <w:r w:rsidR="00972D14">
        <w:t>,</w:t>
      </w:r>
      <w:r w:rsidR="009259B6">
        <w:t xml:space="preserve"> </w:t>
      </w:r>
      <w:r w:rsidR="00972D14" w:rsidRPr="00972D14">
        <w:t>«Формирование современной городской среды» (0,04%)</w:t>
      </w:r>
      <w:r w:rsidR="00302FFD">
        <w:t>,</w:t>
      </w:r>
      <w:r w:rsidR="00972D14" w:rsidRPr="00972D14">
        <w:t xml:space="preserve"> «Охрана окружающей среды» (0,05%),  «Обеспечение комплексных мер безопасности» (0,06%), «Транспортное обслуживание населения» (0,07%).</w:t>
      </w:r>
      <w:r w:rsidR="00301A8F" w:rsidRPr="00301A8F">
        <w:rPr>
          <w:b/>
          <w:i/>
        </w:rPr>
        <w:t xml:space="preserve"> </w:t>
      </w:r>
      <w:r w:rsidR="00301A8F" w:rsidRPr="0071623D">
        <w:t>По муниципальным программам «Доступное жилье» и «Градостроительство» исполнение составило 0%.</w:t>
      </w:r>
    </w:p>
    <w:p w:rsidR="0000406A" w:rsidRPr="0039713E" w:rsidRDefault="0000406A" w:rsidP="00045B76">
      <w:pPr>
        <w:ind w:right="-5"/>
        <w:rPr>
          <w:rFonts w:cs="Arial"/>
          <w:b/>
        </w:rPr>
      </w:pPr>
    </w:p>
    <w:p w:rsidR="00BC2D0C" w:rsidRPr="0039713E" w:rsidRDefault="00BC2D0C" w:rsidP="00EC35DC">
      <w:pPr>
        <w:ind w:right="-5" w:firstLine="567"/>
        <w:jc w:val="center"/>
        <w:rPr>
          <w:b/>
        </w:rPr>
      </w:pPr>
      <w:r w:rsidRPr="0039713E">
        <w:rPr>
          <w:rFonts w:cs="Arial"/>
          <w:b/>
        </w:rPr>
        <w:t>4.</w:t>
      </w:r>
      <w:r w:rsidR="00466C7E" w:rsidRPr="0039713E">
        <w:rPr>
          <w:rFonts w:cs="Arial"/>
          <w:b/>
        </w:rPr>
        <w:t xml:space="preserve"> </w:t>
      </w:r>
      <w:r w:rsidR="00B25A23" w:rsidRPr="0039713E">
        <w:rPr>
          <w:rFonts w:cs="Arial"/>
          <w:b/>
        </w:rPr>
        <w:t>Анализ состояния муниципального</w:t>
      </w:r>
      <w:r w:rsidRPr="0039713E">
        <w:rPr>
          <w:b/>
        </w:rPr>
        <w:t xml:space="preserve"> долг</w:t>
      </w:r>
      <w:r w:rsidR="00B25A23" w:rsidRPr="0039713E">
        <w:rPr>
          <w:b/>
        </w:rPr>
        <w:t>а</w:t>
      </w:r>
    </w:p>
    <w:p w:rsidR="004A4910" w:rsidRPr="0039713E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171D19" w:rsidRPr="0039713E" w:rsidRDefault="0014521C" w:rsidP="00A15864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По состоянию на 01.04</w:t>
      </w:r>
      <w:r w:rsidR="00BC2D0C" w:rsidRPr="0039713E">
        <w:rPr>
          <w:rFonts w:cs="Arial"/>
        </w:rPr>
        <w:t>.201</w:t>
      </w:r>
      <w:r>
        <w:rPr>
          <w:rFonts w:cs="Arial"/>
        </w:rPr>
        <w:t>9</w:t>
      </w:r>
      <w:r w:rsidR="00BC2D0C" w:rsidRPr="0039713E">
        <w:rPr>
          <w:rFonts w:cs="Arial"/>
        </w:rPr>
        <w:t xml:space="preserve">г. </w:t>
      </w:r>
      <w:r w:rsidR="00171D19" w:rsidRPr="0039713E">
        <w:rPr>
          <w:rFonts w:cs="Arial"/>
        </w:rPr>
        <w:t xml:space="preserve">общий объем </w:t>
      </w:r>
      <w:r w:rsidR="00BC2D0C" w:rsidRPr="0039713E">
        <w:rPr>
          <w:rFonts w:cs="Arial"/>
        </w:rPr>
        <w:t xml:space="preserve">муниципального </w:t>
      </w:r>
      <w:r w:rsidR="00FD7D97" w:rsidRPr="0039713E">
        <w:rPr>
          <w:rFonts w:cs="Arial"/>
        </w:rPr>
        <w:t xml:space="preserve">долга </w:t>
      </w:r>
      <w:r w:rsidR="00716433" w:rsidRPr="0039713E">
        <w:t xml:space="preserve">муниципального образования – «город Тулун» </w:t>
      </w:r>
      <w:r w:rsidR="004A4910" w:rsidRPr="0039713E">
        <w:rPr>
          <w:rFonts w:cs="Arial"/>
        </w:rPr>
        <w:t xml:space="preserve"> </w:t>
      </w:r>
      <w:r w:rsidR="00FD7D97" w:rsidRPr="0039713E">
        <w:rPr>
          <w:rFonts w:cs="Arial"/>
        </w:rPr>
        <w:t xml:space="preserve">составляет </w:t>
      </w:r>
      <w:r w:rsidR="009F6962" w:rsidRPr="0039713E">
        <w:rPr>
          <w:rFonts w:cs="Arial"/>
        </w:rPr>
        <w:t xml:space="preserve"> </w:t>
      </w:r>
      <w:r>
        <w:rPr>
          <w:rFonts w:cs="Arial"/>
        </w:rPr>
        <w:t>24 566,9</w:t>
      </w:r>
      <w:r w:rsidR="00A15864">
        <w:rPr>
          <w:rFonts w:cs="Arial"/>
        </w:rPr>
        <w:t xml:space="preserve"> </w:t>
      </w:r>
      <w:proofErr w:type="spellStart"/>
      <w:r w:rsidR="00A15864">
        <w:rPr>
          <w:rFonts w:cs="Arial"/>
        </w:rPr>
        <w:t>тыс</w:t>
      </w:r>
      <w:proofErr w:type="gramStart"/>
      <w:r w:rsidR="00A15864">
        <w:rPr>
          <w:rFonts w:cs="Arial"/>
        </w:rPr>
        <w:t>.р</w:t>
      </w:r>
      <w:proofErr w:type="gramEnd"/>
      <w:r w:rsidR="00A15864">
        <w:rPr>
          <w:rFonts w:cs="Arial"/>
        </w:rPr>
        <w:t>уб</w:t>
      </w:r>
      <w:proofErr w:type="spellEnd"/>
      <w:r w:rsidR="00A15864">
        <w:rPr>
          <w:rFonts w:cs="Arial"/>
        </w:rPr>
        <w:t>.,   который</w:t>
      </w:r>
      <w:r w:rsidR="00FD7D97" w:rsidRPr="0039713E">
        <w:rPr>
          <w:rFonts w:cs="Arial"/>
        </w:rPr>
        <w:t xml:space="preserve"> </w:t>
      </w:r>
      <w:r w:rsidR="00A15864">
        <w:rPr>
          <w:rFonts w:cs="Arial"/>
        </w:rPr>
        <w:t>является основным</w:t>
      </w:r>
      <w:r w:rsidR="00FD7D97" w:rsidRPr="0039713E">
        <w:rPr>
          <w:rFonts w:cs="Arial"/>
        </w:rPr>
        <w:t xml:space="preserve"> долг</w:t>
      </w:r>
      <w:r w:rsidR="00A15864">
        <w:rPr>
          <w:rFonts w:cs="Arial"/>
        </w:rPr>
        <w:t xml:space="preserve">ом </w:t>
      </w:r>
      <w:r w:rsidR="00A15864" w:rsidRPr="0039713E">
        <w:t xml:space="preserve">муниципального образования – «город Тулун» </w:t>
      </w:r>
      <w:r w:rsidR="00A15864" w:rsidRPr="0039713E">
        <w:rPr>
          <w:rFonts w:cs="Arial"/>
        </w:rPr>
        <w:t xml:space="preserve"> </w:t>
      </w:r>
      <w:r w:rsidR="00A15864">
        <w:rPr>
          <w:rFonts w:cs="Arial"/>
        </w:rPr>
        <w:t xml:space="preserve">по бюджетному кредиту в соответствии с договором от 28.02.2014г. № 4 в размере 15 201,0 </w:t>
      </w:r>
      <w:proofErr w:type="spellStart"/>
      <w:r w:rsidR="00A15864">
        <w:rPr>
          <w:rFonts w:cs="Arial"/>
        </w:rPr>
        <w:t>тыс.руб</w:t>
      </w:r>
      <w:proofErr w:type="spellEnd"/>
      <w:r w:rsidR="00A15864">
        <w:rPr>
          <w:rFonts w:cs="Arial"/>
        </w:rPr>
        <w:t xml:space="preserve">. и в размере 9 365,9 </w:t>
      </w:r>
      <w:proofErr w:type="spellStart"/>
      <w:r w:rsidR="00A15864">
        <w:rPr>
          <w:rFonts w:cs="Arial"/>
        </w:rPr>
        <w:t>тыс.руб</w:t>
      </w:r>
      <w:proofErr w:type="spellEnd"/>
      <w:r w:rsidR="00A15864">
        <w:rPr>
          <w:rFonts w:cs="Arial"/>
        </w:rPr>
        <w:t>. по бюджетному кредиту в соответствии с договором от 08.05.2014г. № 12. В 1 квартале 2019</w:t>
      </w:r>
      <w:r w:rsidR="004A4910" w:rsidRPr="0039713E">
        <w:rPr>
          <w:rFonts w:cs="Arial"/>
        </w:rPr>
        <w:t xml:space="preserve"> года </w:t>
      </w:r>
      <w:r w:rsidR="00C81207" w:rsidRPr="0039713E">
        <w:rPr>
          <w:rFonts w:cs="Arial"/>
        </w:rPr>
        <w:t>погашен</w:t>
      </w:r>
      <w:r w:rsidR="004A4910" w:rsidRPr="0039713E">
        <w:rPr>
          <w:rFonts w:cs="Arial"/>
        </w:rPr>
        <w:t xml:space="preserve">ие </w:t>
      </w:r>
      <w:r w:rsidR="00E86144">
        <w:rPr>
          <w:rFonts w:cs="Arial"/>
        </w:rPr>
        <w:t xml:space="preserve">муниципального </w:t>
      </w:r>
      <w:r w:rsidR="00C81207" w:rsidRPr="0039713E">
        <w:rPr>
          <w:rFonts w:cs="Arial"/>
        </w:rPr>
        <w:t xml:space="preserve"> долга</w:t>
      </w:r>
      <w:r w:rsidR="004A4910" w:rsidRPr="0039713E">
        <w:rPr>
          <w:rFonts w:cs="Arial"/>
        </w:rPr>
        <w:t xml:space="preserve"> </w:t>
      </w:r>
      <w:r w:rsidR="00A15864" w:rsidRPr="0039713E">
        <w:t xml:space="preserve">муниципального образования – «город Тулун» </w:t>
      </w:r>
      <w:r w:rsidR="00A15864" w:rsidRPr="0039713E">
        <w:rPr>
          <w:rFonts w:cs="Arial"/>
        </w:rPr>
        <w:t xml:space="preserve"> </w:t>
      </w:r>
      <w:r w:rsidR="004A4910" w:rsidRPr="0039713E">
        <w:rPr>
          <w:rFonts w:cs="Arial"/>
        </w:rPr>
        <w:t>не производилось.</w:t>
      </w:r>
    </w:p>
    <w:p w:rsidR="00BC2D0C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D4221C" w:rsidRDefault="00D4221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D4221C" w:rsidRPr="0039713E" w:rsidRDefault="00D4221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39713E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39713E">
        <w:rPr>
          <w:b/>
          <w:bCs/>
        </w:rPr>
        <w:t>5.</w:t>
      </w:r>
      <w:r w:rsidR="00466C7E" w:rsidRPr="0039713E">
        <w:rPr>
          <w:b/>
          <w:bCs/>
        </w:rPr>
        <w:t xml:space="preserve"> </w:t>
      </w:r>
      <w:r w:rsidR="00DB0ECE" w:rsidRPr="0039713E">
        <w:rPr>
          <w:b/>
          <w:bCs/>
        </w:rPr>
        <w:t>Анализ исполнения местного бюджета по  источникам</w:t>
      </w:r>
      <w:r w:rsidRPr="0039713E">
        <w:rPr>
          <w:b/>
          <w:bCs/>
        </w:rPr>
        <w:t xml:space="preserve"> внутреннего ф</w:t>
      </w:r>
      <w:r w:rsidR="00DB0ECE" w:rsidRPr="0039713E">
        <w:rPr>
          <w:b/>
          <w:bCs/>
        </w:rPr>
        <w:t xml:space="preserve">инансирования  дефицита </w:t>
      </w:r>
      <w:r w:rsidRPr="0039713E">
        <w:rPr>
          <w:b/>
          <w:bCs/>
        </w:rPr>
        <w:t xml:space="preserve">  бюджета</w:t>
      </w:r>
    </w:p>
    <w:p w:rsidR="00BC2D0C" w:rsidRPr="0039713E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C2D0C" w:rsidRPr="0039713E" w:rsidRDefault="000663F6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9713E">
        <w:rPr>
          <w:bCs/>
        </w:rPr>
        <w:t>Б</w:t>
      </w:r>
      <w:r w:rsidR="00BC2D0C" w:rsidRPr="0039713E">
        <w:rPr>
          <w:bCs/>
        </w:rPr>
        <w:t xml:space="preserve">юджет </w:t>
      </w:r>
      <w:r w:rsidRPr="0039713E">
        <w:rPr>
          <w:bCs/>
        </w:rPr>
        <w:t>муниципального обр</w:t>
      </w:r>
      <w:r w:rsidR="00F36160">
        <w:rPr>
          <w:bCs/>
        </w:rPr>
        <w:t>азования – «город Тулун» на 2019</w:t>
      </w:r>
      <w:r w:rsidRPr="0039713E">
        <w:rPr>
          <w:bCs/>
        </w:rPr>
        <w:t xml:space="preserve"> год </w:t>
      </w:r>
      <w:r w:rsidR="009F6962" w:rsidRPr="0039713E">
        <w:rPr>
          <w:bCs/>
        </w:rPr>
        <w:t xml:space="preserve"> утвержден  с дефицитом в объеме</w:t>
      </w:r>
      <w:r w:rsidR="00BC2D0C" w:rsidRPr="0039713E">
        <w:rPr>
          <w:bCs/>
        </w:rPr>
        <w:t xml:space="preserve"> </w:t>
      </w:r>
      <w:r w:rsidR="00D16394">
        <w:rPr>
          <w:bCs/>
        </w:rPr>
        <w:t>22 022,0</w:t>
      </w:r>
      <w:r w:rsidR="00BC2D0C" w:rsidRPr="0039713E">
        <w:t xml:space="preserve"> </w:t>
      </w:r>
      <w:proofErr w:type="spellStart"/>
      <w:r w:rsidR="00BC2D0C" w:rsidRPr="0039713E">
        <w:rPr>
          <w:bCs/>
        </w:rPr>
        <w:t>тыс</w:t>
      </w:r>
      <w:proofErr w:type="gramStart"/>
      <w:r w:rsidR="00BC2D0C" w:rsidRPr="0039713E">
        <w:rPr>
          <w:bCs/>
        </w:rPr>
        <w:t>.р</w:t>
      </w:r>
      <w:proofErr w:type="gramEnd"/>
      <w:r w:rsidR="00BC2D0C" w:rsidRPr="0039713E">
        <w:rPr>
          <w:bCs/>
        </w:rPr>
        <w:t>уб</w:t>
      </w:r>
      <w:proofErr w:type="spellEnd"/>
      <w:r w:rsidR="00F35DF1">
        <w:rPr>
          <w:bCs/>
        </w:rPr>
        <w:t xml:space="preserve">. </w:t>
      </w:r>
      <w:r w:rsidR="0010652F" w:rsidRPr="0039713E">
        <w:rPr>
          <w:bCs/>
        </w:rPr>
        <w:t xml:space="preserve"> </w:t>
      </w:r>
      <w:r w:rsidR="00BC2D0C" w:rsidRPr="0039713E">
        <w:rPr>
          <w:bCs/>
        </w:rPr>
        <w:t xml:space="preserve">По данным </w:t>
      </w:r>
      <w:r w:rsidR="00F01017" w:rsidRPr="0039713E">
        <w:rPr>
          <w:bCs/>
        </w:rPr>
        <w:t>о</w:t>
      </w:r>
      <w:r w:rsidR="00BC2D0C" w:rsidRPr="0039713E">
        <w:rPr>
          <w:bCs/>
        </w:rPr>
        <w:t xml:space="preserve">тчета за </w:t>
      </w:r>
      <w:r w:rsidR="00D16394">
        <w:rPr>
          <w:bCs/>
        </w:rPr>
        <w:t>1</w:t>
      </w:r>
      <w:r w:rsidR="00D4221C">
        <w:rPr>
          <w:bCs/>
        </w:rPr>
        <w:t xml:space="preserve"> квартал</w:t>
      </w:r>
      <w:r w:rsidR="00C547AE" w:rsidRPr="0039713E">
        <w:rPr>
          <w:bCs/>
        </w:rPr>
        <w:t xml:space="preserve"> 201</w:t>
      </w:r>
      <w:r w:rsidR="00D4221C">
        <w:rPr>
          <w:bCs/>
        </w:rPr>
        <w:t>9</w:t>
      </w:r>
      <w:r w:rsidR="00BC2D0C" w:rsidRPr="0039713E">
        <w:rPr>
          <w:bCs/>
        </w:rPr>
        <w:t xml:space="preserve"> г</w:t>
      </w:r>
      <w:r w:rsidR="009464C4" w:rsidRPr="0039713E">
        <w:rPr>
          <w:bCs/>
        </w:rPr>
        <w:t>ода</w:t>
      </w:r>
      <w:r w:rsidR="00BC2D0C" w:rsidRPr="0039713E">
        <w:rPr>
          <w:bCs/>
        </w:rPr>
        <w:t xml:space="preserve"> </w:t>
      </w:r>
      <w:r w:rsidR="00BC2D0C" w:rsidRPr="0039713E">
        <w:t xml:space="preserve">местный  бюджет   исполнен </w:t>
      </w:r>
      <w:r w:rsidR="00B80277" w:rsidRPr="0039713E">
        <w:rPr>
          <w:bCs/>
        </w:rPr>
        <w:t>с  профицитом в объеме</w:t>
      </w:r>
      <w:r w:rsidR="00BC2D0C" w:rsidRPr="0039713E">
        <w:rPr>
          <w:bCs/>
        </w:rPr>
        <w:t xml:space="preserve"> </w:t>
      </w:r>
      <w:r w:rsidR="00D16394">
        <w:t>10 515,1</w:t>
      </w:r>
      <w:r w:rsidR="00BC2D0C" w:rsidRPr="0039713E">
        <w:t xml:space="preserve"> </w:t>
      </w:r>
      <w:r w:rsidR="00BC2D0C" w:rsidRPr="0039713E">
        <w:rPr>
          <w:bCs/>
        </w:rPr>
        <w:t xml:space="preserve">тыс. руб. </w:t>
      </w:r>
    </w:p>
    <w:p w:rsidR="00AA0BAB" w:rsidRPr="0039713E" w:rsidRDefault="00AA0BAB" w:rsidP="00EC35DC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39713E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D16394">
        <w:t>1 квартал</w:t>
      </w:r>
      <w:r w:rsidR="00C547AE" w:rsidRPr="0039713E">
        <w:t xml:space="preserve"> 201</w:t>
      </w:r>
      <w:r w:rsidR="00D16394">
        <w:t>9</w:t>
      </w:r>
      <w:r w:rsidRPr="0039713E">
        <w:t xml:space="preserve"> года приведен в таблице  № </w:t>
      </w:r>
      <w:r w:rsidR="00AA0BAB" w:rsidRPr="0039713E">
        <w:t>5</w:t>
      </w:r>
      <w:r w:rsidR="0039713E">
        <w:t>.</w:t>
      </w:r>
    </w:p>
    <w:p w:rsidR="00D16394" w:rsidRPr="0039713E" w:rsidRDefault="00D16394" w:rsidP="00EC35DC">
      <w:pPr>
        <w:autoSpaceDE w:val="0"/>
        <w:autoSpaceDN w:val="0"/>
        <w:adjustRightInd w:val="0"/>
        <w:ind w:firstLine="708"/>
        <w:jc w:val="both"/>
      </w:pPr>
    </w:p>
    <w:p w:rsidR="00BC2D0C" w:rsidRPr="00AA0BAB" w:rsidRDefault="00AA0BAB" w:rsidP="00AA0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№ 5</w:t>
      </w:r>
      <w:r w:rsidRPr="005F7CDC">
        <w:rPr>
          <w:b/>
          <w:sz w:val="20"/>
          <w:szCs w:val="20"/>
        </w:rPr>
        <w:t xml:space="preserve"> 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BC2D0C" w:rsidRPr="00A57033" w:rsidTr="006823BE">
        <w:tc>
          <w:tcPr>
            <w:tcW w:w="6629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D16394" w:rsidRDefault="00D16394" w:rsidP="0018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  <w:p w:rsidR="00BC2D0C" w:rsidRPr="006D0AFD" w:rsidRDefault="00D16394" w:rsidP="0018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="006D0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2D0C" w:rsidRPr="006D0AFD" w:rsidRDefault="00AA0BAB" w:rsidP="00682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 xml:space="preserve">Получение  кредитов от кредитных организаций  </w:t>
            </w:r>
            <w:r w:rsidR="00D16394">
              <w:rPr>
                <w:iCs/>
                <w:sz w:val="20"/>
                <w:szCs w:val="20"/>
              </w:rPr>
              <w:t xml:space="preserve">бюджетами городских округов </w:t>
            </w:r>
            <w:r w:rsidRPr="006D0AFD">
              <w:rPr>
                <w:iCs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D1639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23 315,0</w:t>
            </w:r>
          </w:p>
        </w:tc>
        <w:tc>
          <w:tcPr>
            <w:tcW w:w="1559" w:type="dxa"/>
            <w:vAlign w:val="center"/>
          </w:tcPr>
          <w:p w:rsidR="00BC2D0C" w:rsidRPr="006D0AFD" w:rsidRDefault="00A870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F011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- 1 293,0</w:t>
            </w:r>
          </w:p>
        </w:tc>
        <w:tc>
          <w:tcPr>
            <w:tcW w:w="1559" w:type="dxa"/>
            <w:vAlign w:val="center"/>
          </w:tcPr>
          <w:p w:rsidR="00BC2D0C" w:rsidRPr="006D0AFD" w:rsidRDefault="00F011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9861A6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C2D0C" w:rsidRPr="006D0AFD" w:rsidRDefault="009861A6" w:rsidP="006D0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- 10 515,1</w:t>
            </w:r>
          </w:p>
        </w:tc>
      </w:tr>
      <w:tr w:rsidR="00A870AC" w:rsidRPr="00A57033" w:rsidTr="00A870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6D0AFD" w:rsidRDefault="00D16394" w:rsidP="00116D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6D0AFD" w:rsidRDefault="009861A6" w:rsidP="00116D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- 10 515,1</w:t>
            </w:r>
          </w:p>
        </w:tc>
      </w:tr>
    </w:tbl>
    <w:p w:rsidR="009259B6" w:rsidRPr="00A57033" w:rsidRDefault="009259B6" w:rsidP="00EC35DC">
      <w:pPr>
        <w:autoSpaceDE w:val="0"/>
        <w:autoSpaceDN w:val="0"/>
        <w:adjustRightInd w:val="0"/>
        <w:ind w:firstLine="708"/>
        <w:jc w:val="both"/>
      </w:pPr>
    </w:p>
    <w:p w:rsidR="00BC2D0C" w:rsidRPr="00961E95" w:rsidRDefault="00BC2D0C" w:rsidP="006D0AFD">
      <w:pPr>
        <w:autoSpaceDE w:val="0"/>
        <w:autoSpaceDN w:val="0"/>
        <w:adjustRightInd w:val="0"/>
        <w:ind w:firstLine="708"/>
        <w:jc w:val="both"/>
      </w:pPr>
      <w:r w:rsidRPr="00961E95">
        <w:t>Источник</w:t>
      </w:r>
      <w:r w:rsidR="00493754" w:rsidRPr="00961E95">
        <w:t>ом</w:t>
      </w:r>
      <w:r w:rsidRPr="00961E95">
        <w:t xml:space="preserve">  внутреннего финансирования дефицита местного бюджета </w:t>
      </w:r>
      <w:r w:rsidR="009861A6">
        <w:t>за 1 квартал</w:t>
      </w:r>
      <w:r w:rsidR="001F4D66" w:rsidRPr="00961E95">
        <w:t xml:space="preserve"> </w:t>
      </w:r>
      <w:r w:rsidR="00C547AE" w:rsidRPr="00961E95">
        <w:t>201</w:t>
      </w:r>
      <w:r w:rsidR="009861A6">
        <w:t>9</w:t>
      </w:r>
      <w:r w:rsidRPr="00961E95">
        <w:t xml:space="preserve"> года являлось</w:t>
      </w:r>
      <w:r w:rsidR="00493754" w:rsidRPr="00961E95">
        <w:t xml:space="preserve"> </w:t>
      </w:r>
      <w:r w:rsidRPr="00961E95">
        <w:t xml:space="preserve">изменение остатков средств на </w:t>
      </w:r>
      <w:r w:rsidR="00493754" w:rsidRPr="00961E95">
        <w:t>счетах по учету средств бюджета</w:t>
      </w:r>
      <w:r w:rsidRPr="00961E95">
        <w:t xml:space="preserve"> в сумме  (минус) </w:t>
      </w:r>
      <w:r w:rsidR="009861A6">
        <w:t>10 515,1</w:t>
      </w:r>
      <w:r w:rsidR="008A574E" w:rsidRPr="00961E95">
        <w:t xml:space="preserve"> </w:t>
      </w:r>
      <w:proofErr w:type="spellStart"/>
      <w:r w:rsidRPr="00961E95">
        <w:t>тыс</w:t>
      </w:r>
      <w:proofErr w:type="gramStart"/>
      <w:r w:rsidRPr="00961E95">
        <w:t>.р</w:t>
      </w:r>
      <w:proofErr w:type="gramEnd"/>
      <w:r w:rsidRPr="00961E95">
        <w:t>уб</w:t>
      </w:r>
      <w:proofErr w:type="spellEnd"/>
      <w:r w:rsidRPr="00961E95">
        <w:t>.</w:t>
      </w:r>
    </w:p>
    <w:p w:rsidR="00B25A23" w:rsidRPr="00961E95" w:rsidRDefault="00B25A23" w:rsidP="006D0AFD">
      <w:pPr>
        <w:autoSpaceDE w:val="0"/>
        <w:autoSpaceDN w:val="0"/>
        <w:adjustRightInd w:val="0"/>
        <w:ind w:firstLine="708"/>
        <w:jc w:val="both"/>
      </w:pPr>
    </w:p>
    <w:p w:rsidR="00B25A23" w:rsidRPr="00961E95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61E95">
        <w:rPr>
          <w:b/>
        </w:rPr>
        <w:t xml:space="preserve">6. Анализ исполнения программы </w:t>
      </w:r>
      <w:r w:rsidR="00EE53AD" w:rsidRPr="00961E95">
        <w:rPr>
          <w:b/>
        </w:rPr>
        <w:t xml:space="preserve"> </w:t>
      </w:r>
      <w:proofErr w:type="gramStart"/>
      <w:r w:rsidR="00004B90" w:rsidRPr="00961E95">
        <w:rPr>
          <w:b/>
        </w:rPr>
        <w:t>муниципальных</w:t>
      </w:r>
      <w:proofErr w:type="gramEnd"/>
      <w:r w:rsidR="00004B90" w:rsidRPr="00961E95">
        <w:rPr>
          <w:b/>
        </w:rPr>
        <w:t xml:space="preserve"> </w:t>
      </w:r>
      <w:r w:rsidRPr="00961E95">
        <w:rPr>
          <w:b/>
        </w:rPr>
        <w:t xml:space="preserve"> </w:t>
      </w:r>
    </w:p>
    <w:p w:rsidR="00B25A23" w:rsidRPr="00961E95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61E95">
        <w:rPr>
          <w:b/>
        </w:rPr>
        <w:t>внутренних заимствований</w:t>
      </w:r>
    </w:p>
    <w:p w:rsidR="00B25A23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821F78" w:rsidRPr="00821F78" w:rsidRDefault="00B1720C" w:rsidP="00821F78">
      <w:pPr>
        <w:autoSpaceDE w:val="0"/>
        <w:autoSpaceDN w:val="0"/>
        <w:adjustRightInd w:val="0"/>
        <w:ind w:firstLine="708"/>
        <w:jc w:val="both"/>
      </w:pPr>
      <w:r>
        <w:t>На 01.01.2019</w:t>
      </w:r>
      <w:r w:rsidR="00821F78" w:rsidRPr="00821F78">
        <w:t xml:space="preserve"> года объем муниципального долга по бюджетным кредитам от других бюджетов РФ</w:t>
      </w:r>
      <w:r>
        <w:t xml:space="preserve"> составлял 24 566,9</w:t>
      </w:r>
      <w:r w:rsidR="00821F78">
        <w:t xml:space="preserve"> </w:t>
      </w:r>
      <w:proofErr w:type="spellStart"/>
      <w:r w:rsidR="00821F78">
        <w:t>тыс</w:t>
      </w:r>
      <w:proofErr w:type="gramStart"/>
      <w:r w:rsidR="00821F78">
        <w:t>.р</w:t>
      </w:r>
      <w:proofErr w:type="gramEnd"/>
      <w:r w:rsidR="00821F78">
        <w:t>уб</w:t>
      </w:r>
      <w:proofErr w:type="spellEnd"/>
      <w:r w:rsidR="00821F78">
        <w:t>.</w:t>
      </w:r>
    </w:p>
    <w:p w:rsidR="00961E95" w:rsidRDefault="00B1720C" w:rsidP="00821F78">
      <w:pPr>
        <w:widowControl w:val="0"/>
        <w:autoSpaceDE w:val="0"/>
        <w:autoSpaceDN w:val="0"/>
        <w:adjustRightInd w:val="0"/>
        <w:ind w:firstLine="540"/>
        <w:jc w:val="both"/>
      </w:pPr>
      <w:r>
        <w:t>П</w:t>
      </w:r>
      <w:r w:rsidR="00961E95">
        <w:t>ланируемый объем привлечения кредитов</w:t>
      </w:r>
      <w:r w:rsidR="00961E95" w:rsidRPr="00961E95">
        <w:t xml:space="preserve"> кредитных организаций</w:t>
      </w:r>
      <w:r>
        <w:t xml:space="preserve"> в 2019 году составляет 23 315,0</w:t>
      </w:r>
      <w:r w:rsidR="00961E95">
        <w:t xml:space="preserve"> </w:t>
      </w:r>
      <w:proofErr w:type="spellStart"/>
      <w:r w:rsidR="00961E95">
        <w:t>тыс</w:t>
      </w:r>
      <w:proofErr w:type="gramStart"/>
      <w:r w:rsidR="00961E95">
        <w:t>.р</w:t>
      </w:r>
      <w:proofErr w:type="gramEnd"/>
      <w:r w:rsidR="00961E95">
        <w:t>уб</w:t>
      </w:r>
      <w:proofErr w:type="spellEnd"/>
      <w:r w:rsidR="00961E95">
        <w:t>.</w:t>
      </w:r>
    </w:p>
    <w:p w:rsidR="00B1720C" w:rsidRPr="00821F78" w:rsidRDefault="00B1720C" w:rsidP="00821F78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t xml:space="preserve">Планируемый объем погашения  бюджетных кредитов </w:t>
      </w:r>
      <w:r w:rsidRPr="00961E95">
        <w:t xml:space="preserve"> от других бюджетов РФ</w:t>
      </w:r>
      <w:r w:rsidRPr="00B1720C">
        <w:t xml:space="preserve"> </w:t>
      </w:r>
      <w:r>
        <w:t xml:space="preserve">в    2019 году составляет  1 293,0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712F9" w:rsidRDefault="00961E95" w:rsidP="00BF5FED">
      <w:pPr>
        <w:autoSpaceDE w:val="0"/>
        <w:autoSpaceDN w:val="0"/>
        <w:adjustRightInd w:val="0"/>
        <w:ind w:firstLine="708"/>
        <w:jc w:val="both"/>
      </w:pPr>
      <w:r w:rsidRPr="00961E95">
        <w:t xml:space="preserve"> </w:t>
      </w:r>
      <w:r w:rsidR="00B1720C">
        <w:t>За 1 квартал 2019</w:t>
      </w:r>
      <w:r w:rsidR="00B25A23" w:rsidRPr="00961E95">
        <w:t xml:space="preserve"> года кредиты кредитных организаций и бюджетные кредиты от других бюджетов РФ не привлекались, погашение бюджетных кредитов от других бюджетов РФ не производилось. </w:t>
      </w:r>
    </w:p>
    <w:p w:rsidR="000712F9" w:rsidRPr="00821F78" w:rsidRDefault="000712F9" w:rsidP="00821F78">
      <w:pPr>
        <w:autoSpaceDE w:val="0"/>
        <w:autoSpaceDN w:val="0"/>
        <w:adjustRightInd w:val="0"/>
        <w:ind w:firstLine="708"/>
        <w:jc w:val="both"/>
      </w:pPr>
    </w:p>
    <w:p w:rsidR="00BC2D0C" w:rsidRDefault="007C38E0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7</w:t>
      </w:r>
      <w:r w:rsidR="00AA2E87" w:rsidRPr="00961E95">
        <w:rPr>
          <w:b/>
        </w:rPr>
        <w:t>. Выводы и рекомендации</w:t>
      </w:r>
    </w:p>
    <w:p w:rsidR="00E8599B" w:rsidRDefault="00E8599B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371F3" w:rsidRPr="00BF5FED" w:rsidRDefault="00E8599B" w:rsidP="00BF5FED">
      <w:pPr>
        <w:autoSpaceDE w:val="0"/>
        <w:autoSpaceDN w:val="0"/>
        <w:adjustRightInd w:val="0"/>
        <w:ind w:firstLine="708"/>
        <w:jc w:val="both"/>
      </w:pPr>
      <w:r w:rsidRPr="00E8599B">
        <w:t>Анализ пока</w:t>
      </w:r>
      <w:r>
        <w:t>зателей отчета за 1 квартал 201</w:t>
      </w:r>
      <w:r w:rsidRPr="00E8599B">
        <w:t xml:space="preserve">9 года показал, что </w:t>
      </w:r>
      <w:r>
        <w:rPr>
          <w:color w:val="000000"/>
        </w:rPr>
        <w:t>основные параметры</w:t>
      </w:r>
      <w:r w:rsidRPr="00E8599B">
        <w:rPr>
          <w:color w:val="000000"/>
        </w:rPr>
        <w:t xml:space="preserve"> и ос</w:t>
      </w:r>
      <w:r w:rsidR="00BF5FED">
        <w:rPr>
          <w:color w:val="000000"/>
        </w:rPr>
        <w:t>новные</w:t>
      </w:r>
      <w:r w:rsidRPr="00E8599B">
        <w:rPr>
          <w:color w:val="000000"/>
        </w:rPr>
        <w:t xml:space="preserve"> характеристик</w:t>
      </w:r>
      <w:r w:rsidR="00BF5FED">
        <w:rPr>
          <w:color w:val="000000"/>
        </w:rPr>
        <w:t>и</w:t>
      </w:r>
      <w:r w:rsidRPr="00E8599B">
        <w:rPr>
          <w:color w:val="000000"/>
        </w:rPr>
        <w:t xml:space="preserve"> бюджета муниципального образования – «город Тулун»</w:t>
      </w:r>
      <w:r>
        <w:rPr>
          <w:color w:val="000000"/>
        </w:rPr>
        <w:t xml:space="preserve"> соответствуют требованиям Бюджетного кодекса Р</w:t>
      </w:r>
      <w:r w:rsidR="00BF5FED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BF5FED">
        <w:rPr>
          <w:color w:val="000000"/>
        </w:rPr>
        <w:t>едерации.</w:t>
      </w:r>
    </w:p>
    <w:p w:rsidR="0009405E" w:rsidRPr="00961E95" w:rsidRDefault="007E6F03" w:rsidP="0077013F">
      <w:pPr>
        <w:autoSpaceDE w:val="0"/>
        <w:autoSpaceDN w:val="0"/>
        <w:adjustRightInd w:val="0"/>
        <w:ind w:firstLine="708"/>
        <w:jc w:val="both"/>
      </w:pPr>
      <w:r w:rsidRPr="00961E95">
        <w:t xml:space="preserve">За </w:t>
      </w:r>
      <w:r w:rsidR="00DF05DC">
        <w:t>1 квартал</w:t>
      </w:r>
      <w:r w:rsidRPr="00961E95">
        <w:t xml:space="preserve"> 201</w:t>
      </w:r>
      <w:r w:rsidR="00DF05DC">
        <w:t>9</w:t>
      </w:r>
      <w:r w:rsidRPr="00961E95">
        <w:t xml:space="preserve"> года бюджет муниципального образования – «город Тулун» исполнен  с профицитом в размере </w:t>
      </w:r>
      <w:r w:rsidR="00DF05DC">
        <w:t>10 515,1</w:t>
      </w:r>
      <w:r w:rsidR="00557164" w:rsidRPr="00961E95">
        <w:t xml:space="preserve"> </w:t>
      </w:r>
      <w:proofErr w:type="spellStart"/>
      <w:r w:rsidR="00275120">
        <w:t>тыс</w:t>
      </w:r>
      <w:proofErr w:type="gramStart"/>
      <w:r w:rsidR="00275120">
        <w:t>.</w:t>
      </w:r>
      <w:r w:rsidRPr="00961E95">
        <w:t>р</w:t>
      </w:r>
      <w:proofErr w:type="gramEnd"/>
      <w:r w:rsidRPr="00961E95">
        <w:t>уб</w:t>
      </w:r>
      <w:proofErr w:type="spellEnd"/>
      <w:r w:rsidRPr="00961E95">
        <w:t xml:space="preserve">. </w:t>
      </w:r>
      <w:r w:rsidR="00275120">
        <w:t xml:space="preserve"> </w:t>
      </w:r>
      <w:r w:rsidR="00F359CD" w:rsidRPr="00961E95">
        <w:t xml:space="preserve">Доходы исполнены на сумму </w:t>
      </w:r>
      <w:r w:rsidR="00DF05DC">
        <w:t>224 651,5</w:t>
      </w:r>
      <w:r w:rsidR="00F359CD" w:rsidRPr="00961E95">
        <w:t xml:space="preserve"> </w:t>
      </w:r>
      <w:proofErr w:type="spellStart"/>
      <w:r w:rsidR="00F359CD" w:rsidRPr="00961E95">
        <w:t>тыс.руб</w:t>
      </w:r>
      <w:proofErr w:type="spellEnd"/>
      <w:r w:rsidR="0021267D" w:rsidRPr="00961E95">
        <w:t>.</w:t>
      </w:r>
      <w:r w:rsidR="00F359CD" w:rsidRPr="00961E95">
        <w:t xml:space="preserve"> или на </w:t>
      </w:r>
      <w:r w:rsidR="00DF05DC">
        <w:t>21,03</w:t>
      </w:r>
      <w:r w:rsidR="0021267D" w:rsidRPr="00961E95">
        <w:t xml:space="preserve"> </w:t>
      </w:r>
      <w:r w:rsidR="00F359CD" w:rsidRPr="00961E95">
        <w:t xml:space="preserve">% от утвержденного объема </w:t>
      </w:r>
      <w:r w:rsidR="00DF05DC">
        <w:t xml:space="preserve">бюджетных </w:t>
      </w:r>
      <w:r w:rsidR="00F359CD" w:rsidRPr="00961E95">
        <w:t xml:space="preserve">назначений. Исполнение бюджета </w:t>
      </w:r>
      <w:r w:rsidR="00791C95" w:rsidRPr="00961E95">
        <w:t xml:space="preserve">муниципального образования – «город Тулун» </w:t>
      </w:r>
      <w:r w:rsidR="00791C95">
        <w:t xml:space="preserve"> </w:t>
      </w:r>
      <w:r w:rsidR="00F359CD" w:rsidRPr="00961E95">
        <w:t>по расходам составило</w:t>
      </w:r>
      <w:r w:rsidR="00791C95">
        <w:t xml:space="preserve"> </w:t>
      </w:r>
      <w:r w:rsidR="00F359CD" w:rsidRPr="00961E95">
        <w:t xml:space="preserve"> </w:t>
      </w:r>
      <w:r w:rsidR="00DF05DC">
        <w:t>214</w:t>
      </w:r>
      <w:r w:rsidR="00791C95">
        <w:t xml:space="preserve"> </w:t>
      </w:r>
      <w:r w:rsidR="00DF05DC">
        <w:t xml:space="preserve">136,4 </w:t>
      </w:r>
      <w:proofErr w:type="spellStart"/>
      <w:r w:rsidR="00DF05DC">
        <w:t>тыс</w:t>
      </w:r>
      <w:proofErr w:type="gramStart"/>
      <w:r w:rsidR="00DF05DC">
        <w:t>.р</w:t>
      </w:r>
      <w:proofErr w:type="gramEnd"/>
      <w:r w:rsidR="00DF05DC">
        <w:t>уб</w:t>
      </w:r>
      <w:proofErr w:type="spellEnd"/>
      <w:r w:rsidR="00DF05DC">
        <w:t>. или 19,64</w:t>
      </w:r>
      <w:r w:rsidR="00F359CD" w:rsidRPr="00961E95">
        <w:t>%</w:t>
      </w:r>
      <w:r w:rsidR="0021267D" w:rsidRPr="00961E95">
        <w:t xml:space="preserve"> от утвержденного объема </w:t>
      </w:r>
      <w:r w:rsidR="00DF05DC">
        <w:t xml:space="preserve">бюджетных </w:t>
      </w:r>
      <w:r w:rsidR="0021267D" w:rsidRPr="00961E95">
        <w:t>назначений</w:t>
      </w:r>
      <w:r w:rsidR="0058188F" w:rsidRPr="00961E95">
        <w:t>. Исполнение</w:t>
      </w:r>
      <w:r w:rsidR="00004B90" w:rsidRPr="00961E95">
        <w:t xml:space="preserve"> программно-целевых </w:t>
      </w:r>
      <w:r w:rsidR="00F359CD" w:rsidRPr="00961E95">
        <w:t xml:space="preserve"> расходов </w:t>
      </w:r>
      <w:r w:rsidR="00791C95">
        <w:t xml:space="preserve">бюджета </w:t>
      </w:r>
      <w:r w:rsidR="00F359CD" w:rsidRPr="00961E95">
        <w:t>составил</w:t>
      </w:r>
      <w:r w:rsidR="00791C95">
        <w:t>о</w:t>
      </w:r>
      <w:r w:rsidR="00F359CD" w:rsidRPr="00961E95">
        <w:t xml:space="preserve"> </w:t>
      </w:r>
      <w:r w:rsidR="00DF05DC">
        <w:t>189 206,7</w:t>
      </w:r>
      <w:r w:rsidR="000663F6" w:rsidRPr="00961E95">
        <w:t xml:space="preserve"> </w:t>
      </w:r>
      <w:proofErr w:type="spellStart"/>
      <w:r w:rsidR="00275120">
        <w:t>тыс</w:t>
      </w:r>
      <w:proofErr w:type="gramStart"/>
      <w:r w:rsidR="00275120">
        <w:t>.р</w:t>
      </w:r>
      <w:proofErr w:type="gramEnd"/>
      <w:r w:rsidR="00275120">
        <w:t>уб</w:t>
      </w:r>
      <w:proofErr w:type="spellEnd"/>
      <w:r w:rsidR="00275120">
        <w:t>.</w:t>
      </w:r>
      <w:r w:rsidR="00DF05DC">
        <w:t xml:space="preserve"> или 19,32</w:t>
      </w:r>
      <w:r w:rsidR="000663F6" w:rsidRPr="00961E95">
        <w:t xml:space="preserve"> </w:t>
      </w:r>
      <w:r w:rsidR="0009405E" w:rsidRPr="00961E95">
        <w:t xml:space="preserve">% </w:t>
      </w:r>
      <w:r w:rsidR="00004B90" w:rsidRPr="00961E95">
        <w:t xml:space="preserve"> от утвержденного объема</w:t>
      </w:r>
      <w:r w:rsidR="0009405E" w:rsidRPr="00961E95">
        <w:t xml:space="preserve"> </w:t>
      </w:r>
      <w:r w:rsidR="00DF05DC">
        <w:t xml:space="preserve">бюджетных </w:t>
      </w:r>
      <w:r w:rsidR="0009405E" w:rsidRPr="00961E95">
        <w:t>назначений.</w:t>
      </w:r>
      <w:r w:rsidR="00F359CD" w:rsidRPr="00961E95">
        <w:t xml:space="preserve"> </w:t>
      </w:r>
    </w:p>
    <w:p w:rsidR="00116DD5" w:rsidRPr="00961E95" w:rsidRDefault="00AF7050" w:rsidP="0077013F">
      <w:pPr>
        <w:autoSpaceDE w:val="0"/>
        <w:autoSpaceDN w:val="0"/>
        <w:adjustRightInd w:val="0"/>
        <w:ind w:firstLine="708"/>
        <w:jc w:val="both"/>
      </w:pPr>
      <w:r w:rsidRPr="00961E95">
        <w:lastRenderedPageBreak/>
        <w:t>В структуре</w:t>
      </w:r>
      <w:r w:rsidR="000065EB" w:rsidRPr="00961E95">
        <w:t xml:space="preserve"> </w:t>
      </w:r>
      <w:r w:rsidR="0009405E" w:rsidRPr="00961E95">
        <w:t xml:space="preserve">исполнения </w:t>
      </w:r>
      <w:r w:rsidRPr="00961E95">
        <w:t xml:space="preserve"> бюджета </w:t>
      </w:r>
      <w:r w:rsidR="0009405E" w:rsidRPr="00961E95">
        <w:t xml:space="preserve">муниципального образования – «город Тулун»  </w:t>
      </w:r>
      <w:r w:rsidRPr="00961E95">
        <w:t xml:space="preserve">по доходам </w:t>
      </w:r>
      <w:r w:rsidR="0009405E" w:rsidRPr="00961E95">
        <w:t>основную</w:t>
      </w:r>
      <w:r w:rsidR="000065EB" w:rsidRPr="00961E95">
        <w:t xml:space="preserve"> долю</w:t>
      </w:r>
      <w:r w:rsidR="008F043A">
        <w:t xml:space="preserve"> (72,3</w:t>
      </w:r>
      <w:r w:rsidRPr="00961E95">
        <w:t>%)</w:t>
      </w:r>
      <w:r w:rsidR="000065EB" w:rsidRPr="00961E95">
        <w:t xml:space="preserve"> составляют безвозмездные поступления</w:t>
      </w:r>
      <w:r w:rsidRPr="00961E95">
        <w:t xml:space="preserve"> от бюджетов других уровней</w:t>
      </w:r>
      <w:r w:rsidR="000065EB" w:rsidRPr="00961E95">
        <w:t xml:space="preserve">. </w:t>
      </w:r>
    </w:p>
    <w:p w:rsidR="0009405E" w:rsidRPr="00961E95" w:rsidRDefault="00DD181D" w:rsidP="00DD181D">
      <w:pPr>
        <w:autoSpaceDE w:val="0"/>
        <w:autoSpaceDN w:val="0"/>
        <w:adjustRightInd w:val="0"/>
        <w:jc w:val="both"/>
      </w:pPr>
      <w:r>
        <w:t xml:space="preserve">         </w:t>
      </w:r>
      <w:r w:rsidR="0009405E" w:rsidRPr="00961E95">
        <w:t>В структуре исполнения  бюджета муниципального образования – «город Тулун</w:t>
      </w:r>
      <w:r w:rsidR="008F043A">
        <w:t>»  по расходам основную долю (88,4</w:t>
      </w:r>
      <w:r w:rsidR="0009405E" w:rsidRPr="00961E95">
        <w:t>%) составляют расходы на выполнение муниципальных программ города Тулуна.</w:t>
      </w:r>
    </w:p>
    <w:p w:rsidR="0055045F" w:rsidRPr="00961E95" w:rsidRDefault="008F043A" w:rsidP="003E41D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отчетном периоде</w:t>
      </w:r>
      <w:r w:rsidR="0055045F" w:rsidRPr="00961E95">
        <w:rPr>
          <w:rFonts w:cs="Arial"/>
        </w:rPr>
        <w:t xml:space="preserve"> увеличение </w:t>
      </w:r>
      <w:r>
        <w:rPr>
          <w:rFonts w:cs="Arial"/>
        </w:rPr>
        <w:t xml:space="preserve">или уменьшение </w:t>
      </w:r>
      <w:r w:rsidR="0055045F" w:rsidRPr="00961E95">
        <w:rPr>
          <w:rFonts w:cs="Arial"/>
        </w:rPr>
        <w:t>основного муниципального долга</w:t>
      </w:r>
      <w:r>
        <w:rPr>
          <w:rFonts w:cs="Arial"/>
        </w:rPr>
        <w:t xml:space="preserve"> не </w:t>
      </w:r>
      <w:r w:rsidR="0055045F" w:rsidRPr="00961E95">
        <w:rPr>
          <w:rFonts w:cs="Arial"/>
        </w:rPr>
        <w:t xml:space="preserve"> </w:t>
      </w:r>
      <w:r w:rsidRPr="00961E95">
        <w:rPr>
          <w:rFonts w:cs="Arial"/>
        </w:rPr>
        <w:t>произошло</w:t>
      </w:r>
      <w:r>
        <w:rPr>
          <w:rFonts w:cs="Arial"/>
        </w:rPr>
        <w:t>,</w:t>
      </w:r>
      <w:r w:rsidRPr="00961E95">
        <w:t xml:space="preserve"> объем  муниципаль</w:t>
      </w:r>
      <w:r>
        <w:t>ного долга по состоянию на 01.04.2019</w:t>
      </w:r>
      <w:r w:rsidRPr="00961E95">
        <w:t xml:space="preserve"> года </w:t>
      </w:r>
      <w:r>
        <w:t xml:space="preserve">составил 24 566,9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61E95">
        <w:t xml:space="preserve"> </w:t>
      </w:r>
      <w:r w:rsidR="001064B7" w:rsidRPr="00961E95">
        <w:t>Фактический объем  муниципаль</w:t>
      </w:r>
      <w:r>
        <w:t>ного долга по состоянию на 01.04.2019</w:t>
      </w:r>
      <w:r w:rsidR="00C149DE">
        <w:t xml:space="preserve"> года</w:t>
      </w:r>
      <w:r w:rsidR="001064B7" w:rsidRPr="00961E95">
        <w:t xml:space="preserve"> не превысил предельный о</w:t>
      </w:r>
      <w:r w:rsidR="003E41DF" w:rsidRPr="00961E95">
        <w:t>бъем муниципального долга (120 000,0</w:t>
      </w:r>
      <w:r w:rsidR="00C453A7">
        <w:t xml:space="preserve"> </w:t>
      </w:r>
      <w:proofErr w:type="spellStart"/>
      <w:r w:rsidR="00C453A7">
        <w:t>тыс.руб</w:t>
      </w:r>
      <w:proofErr w:type="spellEnd"/>
      <w:r w:rsidR="00C453A7">
        <w:t>.),</w:t>
      </w:r>
      <w:r w:rsidR="001064B7" w:rsidRPr="00961E95">
        <w:t xml:space="preserve"> утвержд</w:t>
      </w:r>
      <w:r w:rsidR="00E17520">
        <w:t>енный Решением о бюджете на 2019</w:t>
      </w:r>
      <w:r w:rsidR="001064B7" w:rsidRPr="00961E95">
        <w:t xml:space="preserve"> год.</w:t>
      </w:r>
      <w:r w:rsidR="003E41DF" w:rsidRPr="00961E95">
        <w:rPr>
          <w:rFonts w:cs="Arial"/>
        </w:rPr>
        <w:t xml:space="preserve"> </w:t>
      </w:r>
    </w:p>
    <w:p w:rsidR="0055045F" w:rsidRPr="00961E95" w:rsidRDefault="0055045F" w:rsidP="0055045F">
      <w:pPr>
        <w:autoSpaceDE w:val="0"/>
        <w:autoSpaceDN w:val="0"/>
        <w:adjustRightInd w:val="0"/>
        <w:jc w:val="both"/>
      </w:pPr>
      <w:r w:rsidRPr="00961E95">
        <w:t xml:space="preserve">     В отчетном периоде</w:t>
      </w:r>
      <w:r w:rsidR="001431CB" w:rsidRPr="00961E95">
        <w:t xml:space="preserve"> </w:t>
      </w:r>
      <w:r w:rsidR="0014501A">
        <w:t>планируемые для покрытия дефицита местного бюджета</w:t>
      </w:r>
      <w:r w:rsidRPr="00961E95">
        <w:t xml:space="preserve"> кредиты кредитных организац</w:t>
      </w:r>
      <w:r w:rsidR="0014501A">
        <w:t>ий</w:t>
      </w:r>
      <w:r w:rsidRPr="00961E95">
        <w:t xml:space="preserve"> не привлекались, погашение бюджетных кредитов от других бюджетов РФ не производилось. </w:t>
      </w:r>
    </w:p>
    <w:p w:rsidR="004B2B31" w:rsidRDefault="002E0192" w:rsidP="0055045F">
      <w:pPr>
        <w:autoSpaceDE w:val="0"/>
        <w:autoSpaceDN w:val="0"/>
        <w:adjustRightInd w:val="0"/>
        <w:jc w:val="both"/>
      </w:pPr>
      <w:r w:rsidRPr="00961E95">
        <w:t xml:space="preserve">       </w:t>
      </w:r>
      <w:r w:rsidR="00C453A7">
        <w:t>В связи с высоким</w:t>
      </w:r>
      <w:r w:rsidRPr="00961E95">
        <w:t xml:space="preserve"> и</w:t>
      </w:r>
      <w:r w:rsidR="00C453A7">
        <w:t xml:space="preserve"> (или)</w:t>
      </w:r>
      <w:r w:rsidRPr="00961E95">
        <w:t xml:space="preserve"> низким </w:t>
      </w:r>
      <w:r w:rsidR="00791C95">
        <w:t xml:space="preserve">процентом исполнения </w:t>
      </w:r>
      <w:r w:rsidR="00DC3FDD" w:rsidRPr="00961E95">
        <w:t xml:space="preserve"> </w:t>
      </w:r>
      <w:r w:rsidR="00791C95">
        <w:t xml:space="preserve">бюджета </w:t>
      </w:r>
      <w:r w:rsidR="00791C95" w:rsidRPr="00961E95">
        <w:t>муниципального образования – «город Тулун</w:t>
      </w:r>
      <w:r w:rsidR="00791C95">
        <w:t>»</w:t>
      </w:r>
      <w:r w:rsidRPr="00961E95">
        <w:t xml:space="preserve"> по отдельным </w:t>
      </w:r>
      <w:r w:rsidR="00C453A7">
        <w:t>показателям</w:t>
      </w:r>
      <w:r w:rsidR="00D70D64">
        <w:t xml:space="preserve">, </w:t>
      </w:r>
      <w:r w:rsidR="00791C95" w:rsidRPr="00791C95">
        <w:t xml:space="preserve"> </w:t>
      </w:r>
      <w:r w:rsidR="00791C95">
        <w:t xml:space="preserve">как по </w:t>
      </w:r>
      <w:proofErr w:type="gramStart"/>
      <w:r w:rsidR="00791C95">
        <w:t>доходам</w:t>
      </w:r>
      <w:proofErr w:type="gramEnd"/>
      <w:r w:rsidR="00791C95">
        <w:t xml:space="preserve"> так и по расходам бюджета, утвержденных Решением о бюджете с изменениями, отраженных в представленном </w:t>
      </w:r>
      <w:r w:rsidR="00C453A7">
        <w:t xml:space="preserve"> </w:t>
      </w:r>
      <w:r w:rsidR="00791C95">
        <w:t>отчете об исполнении</w:t>
      </w:r>
      <w:r w:rsidR="00C453A7">
        <w:t xml:space="preserve"> бюджета </w:t>
      </w:r>
      <w:r w:rsidR="00C453A7" w:rsidRPr="00961E95">
        <w:t>муниципального образования – «город Тулун</w:t>
      </w:r>
      <w:r w:rsidR="00157D31">
        <w:t>»</w:t>
      </w:r>
      <w:r w:rsidR="00791C95">
        <w:t xml:space="preserve"> за 1 квартал 2019 года</w:t>
      </w:r>
      <w:r w:rsidR="00DC3FDD" w:rsidRPr="00961E95">
        <w:t xml:space="preserve">, </w:t>
      </w:r>
      <w:r w:rsidRPr="00961E95">
        <w:t xml:space="preserve"> </w:t>
      </w:r>
      <w:r w:rsidR="0026113F" w:rsidRPr="00961E95">
        <w:t xml:space="preserve">Контрольно-счетная палата города Тулуна </w:t>
      </w:r>
      <w:r w:rsidR="0026113F" w:rsidRPr="00961E95">
        <w:rPr>
          <w:b/>
          <w:i/>
        </w:rPr>
        <w:t xml:space="preserve">рекомендует </w:t>
      </w:r>
      <w:r w:rsidRPr="00961E95">
        <w:t xml:space="preserve"> </w:t>
      </w:r>
      <w:r w:rsidR="00C453A7">
        <w:t>администрации городского округа</w:t>
      </w:r>
      <w:r w:rsidR="004B2B31">
        <w:t>:</w:t>
      </w:r>
    </w:p>
    <w:p w:rsidR="004B2B31" w:rsidRDefault="004B2B31" w:rsidP="004B2B31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Принять действенные меры </w:t>
      </w:r>
      <w:r w:rsidR="009D2913">
        <w:t>по взиманию</w:t>
      </w:r>
      <w:r w:rsidR="001026A2">
        <w:t xml:space="preserve"> </w:t>
      </w:r>
      <w:r w:rsidR="001026A2">
        <w:t>арендных платежей за земельные участки по договору аренды от 10.10.2018г. № 28-18 с ООО «</w:t>
      </w:r>
      <w:proofErr w:type="spellStart"/>
      <w:r w:rsidR="001026A2">
        <w:t>Тулунский</w:t>
      </w:r>
      <w:proofErr w:type="spellEnd"/>
      <w:r w:rsidR="001026A2">
        <w:t xml:space="preserve"> завод </w:t>
      </w:r>
      <w:proofErr w:type="spellStart"/>
      <w:r w:rsidR="001026A2">
        <w:t>стеклокомпозитов</w:t>
      </w:r>
      <w:proofErr w:type="spellEnd"/>
      <w:r w:rsidR="001026A2">
        <w:t>»</w:t>
      </w:r>
      <w:r>
        <w:t>;</w:t>
      </w:r>
    </w:p>
    <w:p w:rsidR="0055045F" w:rsidRPr="004B2B31" w:rsidRDefault="004B2B31" w:rsidP="004B2B31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О</w:t>
      </w:r>
      <w:r w:rsidR="00F824D9">
        <w:t>существлять своевременный контроль за исполнением</w:t>
      </w:r>
      <w:r w:rsidR="002E0192" w:rsidRPr="00961E95">
        <w:t xml:space="preserve"> бюджет</w:t>
      </w:r>
      <w:r w:rsidR="00F824D9">
        <w:t>а</w:t>
      </w:r>
      <w:r w:rsidR="002E0192" w:rsidRPr="00961E95">
        <w:t xml:space="preserve"> муниципального образования – «город Тулун»</w:t>
      </w:r>
      <w:r w:rsidR="00F824D9">
        <w:t>,</w:t>
      </w:r>
      <w:r w:rsidR="00B76FDF">
        <w:t xml:space="preserve"> </w:t>
      </w:r>
      <w:r w:rsidR="00F824D9">
        <w:t xml:space="preserve"> вносить</w:t>
      </w:r>
      <w:r w:rsidR="00E74021">
        <w:t>,</w:t>
      </w:r>
      <w:r w:rsidR="00F824D9">
        <w:t xml:space="preserve"> </w:t>
      </w:r>
      <w:r w:rsidR="00E74021">
        <w:t xml:space="preserve">при наличии обоснований,  </w:t>
      </w:r>
      <w:r w:rsidR="00F824D9">
        <w:t>своевременные</w:t>
      </w:r>
      <w:r w:rsidR="0026113F" w:rsidRPr="00961E95">
        <w:t xml:space="preserve"> </w:t>
      </w:r>
      <w:r w:rsidR="00AF38D4" w:rsidRPr="00961E95">
        <w:t xml:space="preserve">корректировки </w:t>
      </w:r>
      <w:r w:rsidR="00F824D9">
        <w:t>по уточнению  показателей бюджетных назначений</w:t>
      </w:r>
      <w:r w:rsidR="001026A2">
        <w:t xml:space="preserve">, </w:t>
      </w:r>
      <w:r w:rsidR="008451A6" w:rsidRPr="00961E95">
        <w:t xml:space="preserve"> </w:t>
      </w:r>
      <w:r w:rsidR="00F824D9">
        <w:t xml:space="preserve">как </w:t>
      </w:r>
      <w:r w:rsidR="00791C95">
        <w:t xml:space="preserve">по </w:t>
      </w:r>
      <w:proofErr w:type="gramStart"/>
      <w:r w:rsidR="00791C95">
        <w:t>доходам</w:t>
      </w:r>
      <w:proofErr w:type="gramEnd"/>
      <w:r w:rsidR="00D70D64">
        <w:t xml:space="preserve"> </w:t>
      </w:r>
      <w:r w:rsidR="00AF38D4" w:rsidRPr="00961E95">
        <w:t xml:space="preserve"> </w:t>
      </w:r>
      <w:r>
        <w:t xml:space="preserve">так и </w:t>
      </w:r>
      <w:r w:rsidR="00791C95">
        <w:t>по расходам</w:t>
      </w:r>
      <w:r w:rsidRPr="00961E95">
        <w:t xml:space="preserve"> </w:t>
      </w:r>
      <w:r w:rsidR="002E0192" w:rsidRPr="00961E95">
        <w:t>бюджета муниципального образования – «город Тулун</w:t>
      </w:r>
      <w:r w:rsidR="00E74021">
        <w:t>»</w:t>
      </w:r>
      <w:r>
        <w:t>.</w:t>
      </w:r>
    </w:p>
    <w:p w:rsidR="002E7F2B" w:rsidRDefault="002E7F2B" w:rsidP="0077013F">
      <w:pPr>
        <w:autoSpaceDE w:val="0"/>
        <w:autoSpaceDN w:val="0"/>
        <w:adjustRightInd w:val="0"/>
        <w:ind w:firstLine="708"/>
        <w:jc w:val="both"/>
      </w:pPr>
    </w:p>
    <w:p w:rsidR="005940C0" w:rsidRPr="00961E95" w:rsidRDefault="005940C0" w:rsidP="0077013F">
      <w:pPr>
        <w:autoSpaceDE w:val="0"/>
        <w:autoSpaceDN w:val="0"/>
        <w:adjustRightInd w:val="0"/>
        <w:ind w:firstLine="708"/>
        <w:jc w:val="both"/>
      </w:pPr>
    </w:p>
    <w:p w:rsidR="00466C7E" w:rsidRPr="00961E95" w:rsidRDefault="002E7F2B" w:rsidP="001E78B9">
      <w:pPr>
        <w:autoSpaceDE w:val="0"/>
        <w:autoSpaceDN w:val="0"/>
        <w:adjustRightInd w:val="0"/>
        <w:jc w:val="both"/>
      </w:pPr>
      <w:r w:rsidRPr="00961E95">
        <w:t xml:space="preserve"> </w:t>
      </w:r>
    </w:p>
    <w:p w:rsidR="008606EB" w:rsidRPr="00961E95" w:rsidRDefault="0005715F" w:rsidP="007D5F83">
      <w:pPr>
        <w:autoSpaceDE w:val="0"/>
        <w:autoSpaceDN w:val="0"/>
        <w:adjustRightInd w:val="0"/>
        <w:jc w:val="both"/>
      </w:pPr>
      <w:r w:rsidRPr="00961E95">
        <w:t xml:space="preserve">Председатель </w:t>
      </w:r>
    </w:p>
    <w:p w:rsidR="00F00ABF" w:rsidRDefault="0005715F" w:rsidP="007D5F83">
      <w:pPr>
        <w:autoSpaceDE w:val="0"/>
        <w:autoSpaceDN w:val="0"/>
        <w:adjustRightInd w:val="0"/>
        <w:jc w:val="both"/>
      </w:pPr>
      <w:r w:rsidRPr="00961E95">
        <w:t>К</w:t>
      </w:r>
      <w:r w:rsidR="00BC2D0C" w:rsidRPr="00961E95">
        <w:t>онтрольно-счетной палаты</w:t>
      </w:r>
      <w:r w:rsidR="001C5863" w:rsidRPr="00961E95">
        <w:t xml:space="preserve"> </w:t>
      </w:r>
      <w:r w:rsidR="008606EB" w:rsidRPr="00961E95">
        <w:t>города</w:t>
      </w:r>
      <w:r w:rsidR="00BC2D0C" w:rsidRPr="00961E95">
        <w:t xml:space="preserve"> Тулуна       </w:t>
      </w:r>
      <w:r w:rsidR="008606EB" w:rsidRPr="00961E95">
        <w:t xml:space="preserve">                                                </w:t>
      </w:r>
      <w:proofErr w:type="spellStart"/>
      <w:r w:rsidR="008606EB" w:rsidRPr="00961E95">
        <w:t>Л.В.Калинчук</w:t>
      </w:r>
      <w:proofErr w:type="spellEnd"/>
      <w:r w:rsidR="00BC2D0C" w:rsidRPr="00A57033">
        <w:t xml:space="preserve">  </w:t>
      </w:r>
    </w:p>
    <w:p w:rsidR="00F00ABF" w:rsidRDefault="00F00ABF" w:rsidP="007D5F83">
      <w:pPr>
        <w:autoSpaceDE w:val="0"/>
        <w:autoSpaceDN w:val="0"/>
        <w:adjustRightInd w:val="0"/>
        <w:jc w:val="both"/>
      </w:pPr>
    </w:p>
    <w:sectPr w:rsidR="00F00ABF" w:rsidSect="005B784F">
      <w:footerReference w:type="default" r:id="rId11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C2" w:rsidRDefault="001C7FC2" w:rsidP="0040595A">
      <w:r>
        <w:separator/>
      </w:r>
    </w:p>
  </w:endnote>
  <w:endnote w:type="continuationSeparator" w:id="0">
    <w:p w:rsidR="001C7FC2" w:rsidRDefault="001C7FC2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D4" w:rsidRDefault="009758D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51BBC">
      <w:rPr>
        <w:noProof/>
      </w:rPr>
      <w:t>1</w:t>
    </w:r>
    <w:r>
      <w:rPr>
        <w:noProof/>
      </w:rPr>
      <w:fldChar w:fldCharType="end"/>
    </w:r>
  </w:p>
  <w:p w:rsidR="009758D4" w:rsidRDefault="00975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C2" w:rsidRDefault="001C7FC2" w:rsidP="0040595A">
      <w:r>
        <w:separator/>
      </w:r>
    </w:p>
  </w:footnote>
  <w:footnote w:type="continuationSeparator" w:id="0">
    <w:p w:rsidR="001C7FC2" w:rsidRDefault="001C7FC2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D36CA5"/>
    <w:multiLevelType w:val="hybridMultilevel"/>
    <w:tmpl w:val="DAA2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7BF"/>
    <w:rsid w:val="000034B4"/>
    <w:rsid w:val="00003E1E"/>
    <w:rsid w:val="0000406A"/>
    <w:rsid w:val="00004934"/>
    <w:rsid w:val="00004B90"/>
    <w:rsid w:val="00005D51"/>
    <w:rsid w:val="000065EB"/>
    <w:rsid w:val="000072E4"/>
    <w:rsid w:val="0000731D"/>
    <w:rsid w:val="000142FA"/>
    <w:rsid w:val="000155E2"/>
    <w:rsid w:val="00016211"/>
    <w:rsid w:val="00017005"/>
    <w:rsid w:val="000171D4"/>
    <w:rsid w:val="0002255D"/>
    <w:rsid w:val="000230DA"/>
    <w:rsid w:val="00024192"/>
    <w:rsid w:val="00027F43"/>
    <w:rsid w:val="00030AEC"/>
    <w:rsid w:val="00031306"/>
    <w:rsid w:val="00031559"/>
    <w:rsid w:val="0003195E"/>
    <w:rsid w:val="00034F58"/>
    <w:rsid w:val="0003534A"/>
    <w:rsid w:val="00035D61"/>
    <w:rsid w:val="00037A27"/>
    <w:rsid w:val="00037DFE"/>
    <w:rsid w:val="0004085C"/>
    <w:rsid w:val="00040AA6"/>
    <w:rsid w:val="0004274C"/>
    <w:rsid w:val="000431EC"/>
    <w:rsid w:val="00043E2E"/>
    <w:rsid w:val="00043E7B"/>
    <w:rsid w:val="00044103"/>
    <w:rsid w:val="00044A02"/>
    <w:rsid w:val="00045B76"/>
    <w:rsid w:val="00050224"/>
    <w:rsid w:val="00051BBC"/>
    <w:rsid w:val="000524F8"/>
    <w:rsid w:val="00052EAA"/>
    <w:rsid w:val="00052FAB"/>
    <w:rsid w:val="00054DF6"/>
    <w:rsid w:val="000551EB"/>
    <w:rsid w:val="00056193"/>
    <w:rsid w:val="0005715F"/>
    <w:rsid w:val="000572A8"/>
    <w:rsid w:val="00061968"/>
    <w:rsid w:val="00063A13"/>
    <w:rsid w:val="00065639"/>
    <w:rsid w:val="00065F30"/>
    <w:rsid w:val="000663F6"/>
    <w:rsid w:val="000673D7"/>
    <w:rsid w:val="00067AD5"/>
    <w:rsid w:val="000712F9"/>
    <w:rsid w:val="000737B2"/>
    <w:rsid w:val="00074EBA"/>
    <w:rsid w:val="000755EB"/>
    <w:rsid w:val="0007718D"/>
    <w:rsid w:val="00077538"/>
    <w:rsid w:val="000804C1"/>
    <w:rsid w:val="00081044"/>
    <w:rsid w:val="000820C1"/>
    <w:rsid w:val="0008754E"/>
    <w:rsid w:val="00090E64"/>
    <w:rsid w:val="00092AB2"/>
    <w:rsid w:val="0009405E"/>
    <w:rsid w:val="00094CFF"/>
    <w:rsid w:val="00097234"/>
    <w:rsid w:val="00097767"/>
    <w:rsid w:val="000A3B57"/>
    <w:rsid w:val="000A515B"/>
    <w:rsid w:val="000A595F"/>
    <w:rsid w:val="000A5A02"/>
    <w:rsid w:val="000B1943"/>
    <w:rsid w:val="000B3225"/>
    <w:rsid w:val="000B3B37"/>
    <w:rsid w:val="000B4F05"/>
    <w:rsid w:val="000B50A8"/>
    <w:rsid w:val="000B6F7C"/>
    <w:rsid w:val="000C0020"/>
    <w:rsid w:val="000C258A"/>
    <w:rsid w:val="000C2B4E"/>
    <w:rsid w:val="000C4897"/>
    <w:rsid w:val="000C659C"/>
    <w:rsid w:val="000C7074"/>
    <w:rsid w:val="000C7A1D"/>
    <w:rsid w:val="000D4EA3"/>
    <w:rsid w:val="000D767A"/>
    <w:rsid w:val="000D7C0B"/>
    <w:rsid w:val="000E1D89"/>
    <w:rsid w:val="000E217C"/>
    <w:rsid w:val="000E27CF"/>
    <w:rsid w:val="000E32B3"/>
    <w:rsid w:val="000E54F2"/>
    <w:rsid w:val="000E5689"/>
    <w:rsid w:val="000E5BD3"/>
    <w:rsid w:val="000F15F1"/>
    <w:rsid w:val="000F2126"/>
    <w:rsid w:val="000F23E3"/>
    <w:rsid w:val="000F32AD"/>
    <w:rsid w:val="000F4739"/>
    <w:rsid w:val="000F558B"/>
    <w:rsid w:val="000F5823"/>
    <w:rsid w:val="000F5F1D"/>
    <w:rsid w:val="000F63CB"/>
    <w:rsid w:val="000F7C52"/>
    <w:rsid w:val="001014E0"/>
    <w:rsid w:val="001026A2"/>
    <w:rsid w:val="00102B50"/>
    <w:rsid w:val="00103227"/>
    <w:rsid w:val="001040E3"/>
    <w:rsid w:val="001045F8"/>
    <w:rsid w:val="001064B7"/>
    <w:rsid w:val="0010652F"/>
    <w:rsid w:val="00106AC2"/>
    <w:rsid w:val="00112E3F"/>
    <w:rsid w:val="00113D59"/>
    <w:rsid w:val="00115023"/>
    <w:rsid w:val="00116DD5"/>
    <w:rsid w:val="00120331"/>
    <w:rsid w:val="00120FB9"/>
    <w:rsid w:val="001232A7"/>
    <w:rsid w:val="001246A8"/>
    <w:rsid w:val="001250E2"/>
    <w:rsid w:val="001300F0"/>
    <w:rsid w:val="00131265"/>
    <w:rsid w:val="00132A90"/>
    <w:rsid w:val="00133477"/>
    <w:rsid w:val="00133728"/>
    <w:rsid w:val="0013436A"/>
    <w:rsid w:val="0013639C"/>
    <w:rsid w:val="0014078C"/>
    <w:rsid w:val="00141352"/>
    <w:rsid w:val="001431CB"/>
    <w:rsid w:val="0014501A"/>
    <w:rsid w:val="0014521C"/>
    <w:rsid w:val="0014604D"/>
    <w:rsid w:val="00150C7E"/>
    <w:rsid w:val="00150FFB"/>
    <w:rsid w:val="001517B8"/>
    <w:rsid w:val="0015198F"/>
    <w:rsid w:val="00152713"/>
    <w:rsid w:val="00153450"/>
    <w:rsid w:val="001535BC"/>
    <w:rsid w:val="00157D31"/>
    <w:rsid w:val="00160453"/>
    <w:rsid w:val="00163205"/>
    <w:rsid w:val="001634D1"/>
    <w:rsid w:val="00165962"/>
    <w:rsid w:val="00170681"/>
    <w:rsid w:val="00171D19"/>
    <w:rsid w:val="001736D6"/>
    <w:rsid w:val="0017514D"/>
    <w:rsid w:val="00175E33"/>
    <w:rsid w:val="001765D7"/>
    <w:rsid w:val="00176859"/>
    <w:rsid w:val="00181300"/>
    <w:rsid w:val="00186D06"/>
    <w:rsid w:val="001870A3"/>
    <w:rsid w:val="001877CB"/>
    <w:rsid w:val="00190F27"/>
    <w:rsid w:val="00193725"/>
    <w:rsid w:val="00195F3B"/>
    <w:rsid w:val="00197DE2"/>
    <w:rsid w:val="001A1A39"/>
    <w:rsid w:val="001A5134"/>
    <w:rsid w:val="001A53DC"/>
    <w:rsid w:val="001A607F"/>
    <w:rsid w:val="001A6B9A"/>
    <w:rsid w:val="001B05EB"/>
    <w:rsid w:val="001B2766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C6D66"/>
    <w:rsid w:val="001C7FC2"/>
    <w:rsid w:val="001D0BFF"/>
    <w:rsid w:val="001D171E"/>
    <w:rsid w:val="001D5794"/>
    <w:rsid w:val="001D5CC0"/>
    <w:rsid w:val="001D7B32"/>
    <w:rsid w:val="001D7C17"/>
    <w:rsid w:val="001E004F"/>
    <w:rsid w:val="001E4151"/>
    <w:rsid w:val="001E53C6"/>
    <w:rsid w:val="001E5E46"/>
    <w:rsid w:val="001E78B9"/>
    <w:rsid w:val="001F1C00"/>
    <w:rsid w:val="001F3711"/>
    <w:rsid w:val="001F41E8"/>
    <w:rsid w:val="001F4D66"/>
    <w:rsid w:val="001F7323"/>
    <w:rsid w:val="00200C0F"/>
    <w:rsid w:val="00203D6B"/>
    <w:rsid w:val="002058AC"/>
    <w:rsid w:val="00210531"/>
    <w:rsid w:val="00210CF1"/>
    <w:rsid w:val="0021139D"/>
    <w:rsid w:val="00211435"/>
    <w:rsid w:val="00211696"/>
    <w:rsid w:val="00211E1C"/>
    <w:rsid w:val="0021267D"/>
    <w:rsid w:val="0021384D"/>
    <w:rsid w:val="002154DD"/>
    <w:rsid w:val="00215752"/>
    <w:rsid w:val="00215839"/>
    <w:rsid w:val="00216215"/>
    <w:rsid w:val="00216645"/>
    <w:rsid w:val="00217F01"/>
    <w:rsid w:val="00220F26"/>
    <w:rsid w:val="00223615"/>
    <w:rsid w:val="0022671D"/>
    <w:rsid w:val="00226897"/>
    <w:rsid w:val="0022697C"/>
    <w:rsid w:val="00226980"/>
    <w:rsid w:val="00227CBA"/>
    <w:rsid w:val="002318AA"/>
    <w:rsid w:val="00234E1B"/>
    <w:rsid w:val="00236D5A"/>
    <w:rsid w:val="0024058E"/>
    <w:rsid w:val="00241FB1"/>
    <w:rsid w:val="002432B9"/>
    <w:rsid w:val="002471EA"/>
    <w:rsid w:val="0024794B"/>
    <w:rsid w:val="002507F0"/>
    <w:rsid w:val="00251034"/>
    <w:rsid w:val="00254154"/>
    <w:rsid w:val="002550A7"/>
    <w:rsid w:val="002552BC"/>
    <w:rsid w:val="0025544A"/>
    <w:rsid w:val="0026113F"/>
    <w:rsid w:val="002612FC"/>
    <w:rsid w:val="002632FD"/>
    <w:rsid w:val="00263676"/>
    <w:rsid w:val="00264561"/>
    <w:rsid w:val="00265B3D"/>
    <w:rsid w:val="002706C6"/>
    <w:rsid w:val="002716ED"/>
    <w:rsid w:val="00271841"/>
    <w:rsid w:val="00272280"/>
    <w:rsid w:val="002725EA"/>
    <w:rsid w:val="00275120"/>
    <w:rsid w:val="00276274"/>
    <w:rsid w:val="00276716"/>
    <w:rsid w:val="00277807"/>
    <w:rsid w:val="00285C27"/>
    <w:rsid w:val="00286910"/>
    <w:rsid w:val="002918AD"/>
    <w:rsid w:val="0029409D"/>
    <w:rsid w:val="00297FCC"/>
    <w:rsid w:val="002A033F"/>
    <w:rsid w:val="002A3374"/>
    <w:rsid w:val="002A4B81"/>
    <w:rsid w:val="002A53A9"/>
    <w:rsid w:val="002A5655"/>
    <w:rsid w:val="002A7B8B"/>
    <w:rsid w:val="002B2F2C"/>
    <w:rsid w:val="002B47E7"/>
    <w:rsid w:val="002C0A8F"/>
    <w:rsid w:val="002C166F"/>
    <w:rsid w:val="002C3B4E"/>
    <w:rsid w:val="002C3F89"/>
    <w:rsid w:val="002C518E"/>
    <w:rsid w:val="002D04FC"/>
    <w:rsid w:val="002D0B7A"/>
    <w:rsid w:val="002D2D8B"/>
    <w:rsid w:val="002D640E"/>
    <w:rsid w:val="002E0192"/>
    <w:rsid w:val="002E07EB"/>
    <w:rsid w:val="002E1D81"/>
    <w:rsid w:val="002E23CF"/>
    <w:rsid w:val="002E267F"/>
    <w:rsid w:val="002E33F6"/>
    <w:rsid w:val="002E373E"/>
    <w:rsid w:val="002E4875"/>
    <w:rsid w:val="002E51F0"/>
    <w:rsid w:val="002E774B"/>
    <w:rsid w:val="002E7F2B"/>
    <w:rsid w:val="002F0981"/>
    <w:rsid w:val="002F117C"/>
    <w:rsid w:val="002F2555"/>
    <w:rsid w:val="002F277D"/>
    <w:rsid w:val="002F3B39"/>
    <w:rsid w:val="002F455D"/>
    <w:rsid w:val="002F4908"/>
    <w:rsid w:val="00300524"/>
    <w:rsid w:val="0030105B"/>
    <w:rsid w:val="003011D0"/>
    <w:rsid w:val="00301A8F"/>
    <w:rsid w:val="00302FFD"/>
    <w:rsid w:val="00303E43"/>
    <w:rsid w:val="0030444C"/>
    <w:rsid w:val="00306FC4"/>
    <w:rsid w:val="00313249"/>
    <w:rsid w:val="003134F6"/>
    <w:rsid w:val="00313652"/>
    <w:rsid w:val="0031458C"/>
    <w:rsid w:val="003155E8"/>
    <w:rsid w:val="00316030"/>
    <w:rsid w:val="0031670F"/>
    <w:rsid w:val="00316CA4"/>
    <w:rsid w:val="003205AD"/>
    <w:rsid w:val="003206FE"/>
    <w:rsid w:val="00320CE0"/>
    <w:rsid w:val="00323455"/>
    <w:rsid w:val="00324C20"/>
    <w:rsid w:val="00326931"/>
    <w:rsid w:val="003276F3"/>
    <w:rsid w:val="00330803"/>
    <w:rsid w:val="00330E55"/>
    <w:rsid w:val="00332589"/>
    <w:rsid w:val="00333C2F"/>
    <w:rsid w:val="00334E98"/>
    <w:rsid w:val="00335266"/>
    <w:rsid w:val="00335B1B"/>
    <w:rsid w:val="00336453"/>
    <w:rsid w:val="003371F3"/>
    <w:rsid w:val="00337A7C"/>
    <w:rsid w:val="003446AF"/>
    <w:rsid w:val="003452BC"/>
    <w:rsid w:val="00347265"/>
    <w:rsid w:val="00361961"/>
    <w:rsid w:val="00361C98"/>
    <w:rsid w:val="0036628E"/>
    <w:rsid w:val="003723B6"/>
    <w:rsid w:val="00372EBC"/>
    <w:rsid w:val="003748E8"/>
    <w:rsid w:val="00375230"/>
    <w:rsid w:val="00375A38"/>
    <w:rsid w:val="00375C9D"/>
    <w:rsid w:val="0037687C"/>
    <w:rsid w:val="00377408"/>
    <w:rsid w:val="003774EF"/>
    <w:rsid w:val="00377FCB"/>
    <w:rsid w:val="0038052C"/>
    <w:rsid w:val="00382CE1"/>
    <w:rsid w:val="00383D2F"/>
    <w:rsid w:val="00386C5B"/>
    <w:rsid w:val="00387653"/>
    <w:rsid w:val="00395B43"/>
    <w:rsid w:val="0039713E"/>
    <w:rsid w:val="00397FE4"/>
    <w:rsid w:val="003A1C33"/>
    <w:rsid w:val="003A43E3"/>
    <w:rsid w:val="003A4418"/>
    <w:rsid w:val="003A449C"/>
    <w:rsid w:val="003A5189"/>
    <w:rsid w:val="003A60FC"/>
    <w:rsid w:val="003B4B02"/>
    <w:rsid w:val="003B4D69"/>
    <w:rsid w:val="003B54D5"/>
    <w:rsid w:val="003B5DEF"/>
    <w:rsid w:val="003B65BE"/>
    <w:rsid w:val="003B684D"/>
    <w:rsid w:val="003B7231"/>
    <w:rsid w:val="003B74CB"/>
    <w:rsid w:val="003C2F83"/>
    <w:rsid w:val="003C3DFA"/>
    <w:rsid w:val="003C3E6A"/>
    <w:rsid w:val="003C4734"/>
    <w:rsid w:val="003D4CDD"/>
    <w:rsid w:val="003D6176"/>
    <w:rsid w:val="003E41DF"/>
    <w:rsid w:val="003E4840"/>
    <w:rsid w:val="003F1988"/>
    <w:rsid w:val="003F2654"/>
    <w:rsid w:val="003F297B"/>
    <w:rsid w:val="003F6BD0"/>
    <w:rsid w:val="003F6D2B"/>
    <w:rsid w:val="003F6DA0"/>
    <w:rsid w:val="003F784C"/>
    <w:rsid w:val="00402EA0"/>
    <w:rsid w:val="00404CAB"/>
    <w:rsid w:val="0040595A"/>
    <w:rsid w:val="00406782"/>
    <w:rsid w:val="0041100D"/>
    <w:rsid w:val="004123BC"/>
    <w:rsid w:val="00412DC6"/>
    <w:rsid w:val="00414EAF"/>
    <w:rsid w:val="00415208"/>
    <w:rsid w:val="00416ADC"/>
    <w:rsid w:val="00420451"/>
    <w:rsid w:val="00422F9A"/>
    <w:rsid w:val="004262F9"/>
    <w:rsid w:val="00430063"/>
    <w:rsid w:val="004317F6"/>
    <w:rsid w:val="004343BD"/>
    <w:rsid w:val="00434C1E"/>
    <w:rsid w:val="00437471"/>
    <w:rsid w:val="00442075"/>
    <w:rsid w:val="004420DD"/>
    <w:rsid w:val="00445964"/>
    <w:rsid w:val="0044699B"/>
    <w:rsid w:val="00447779"/>
    <w:rsid w:val="00447CA4"/>
    <w:rsid w:val="004547CB"/>
    <w:rsid w:val="00454E05"/>
    <w:rsid w:val="00455A24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3C69"/>
    <w:rsid w:val="0047411B"/>
    <w:rsid w:val="00475154"/>
    <w:rsid w:val="0047566C"/>
    <w:rsid w:val="0047736F"/>
    <w:rsid w:val="004802AF"/>
    <w:rsid w:val="004808DE"/>
    <w:rsid w:val="00484CD0"/>
    <w:rsid w:val="00493754"/>
    <w:rsid w:val="004939DB"/>
    <w:rsid w:val="00496BD7"/>
    <w:rsid w:val="004A12CC"/>
    <w:rsid w:val="004A178F"/>
    <w:rsid w:val="004A2347"/>
    <w:rsid w:val="004A256C"/>
    <w:rsid w:val="004A2F98"/>
    <w:rsid w:val="004A36F3"/>
    <w:rsid w:val="004A4152"/>
    <w:rsid w:val="004A4910"/>
    <w:rsid w:val="004A4A19"/>
    <w:rsid w:val="004A5FAB"/>
    <w:rsid w:val="004A6DF7"/>
    <w:rsid w:val="004A7078"/>
    <w:rsid w:val="004B00F1"/>
    <w:rsid w:val="004B1738"/>
    <w:rsid w:val="004B1CC5"/>
    <w:rsid w:val="004B23FF"/>
    <w:rsid w:val="004B2B31"/>
    <w:rsid w:val="004B38D3"/>
    <w:rsid w:val="004B5036"/>
    <w:rsid w:val="004B7035"/>
    <w:rsid w:val="004B7BD4"/>
    <w:rsid w:val="004B7C4B"/>
    <w:rsid w:val="004C0D40"/>
    <w:rsid w:val="004C169F"/>
    <w:rsid w:val="004C3D24"/>
    <w:rsid w:val="004C418D"/>
    <w:rsid w:val="004C419E"/>
    <w:rsid w:val="004C58D6"/>
    <w:rsid w:val="004C7362"/>
    <w:rsid w:val="004D4D3F"/>
    <w:rsid w:val="004D5D5C"/>
    <w:rsid w:val="004D5ECD"/>
    <w:rsid w:val="004E00F4"/>
    <w:rsid w:val="004E0754"/>
    <w:rsid w:val="004E3197"/>
    <w:rsid w:val="004E3CC7"/>
    <w:rsid w:val="004E3EC4"/>
    <w:rsid w:val="004E529E"/>
    <w:rsid w:val="004F2B25"/>
    <w:rsid w:val="004F2BC2"/>
    <w:rsid w:val="004F32BA"/>
    <w:rsid w:val="004F37CD"/>
    <w:rsid w:val="004F39DA"/>
    <w:rsid w:val="004F6216"/>
    <w:rsid w:val="004F7E1F"/>
    <w:rsid w:val="005029D5"/>
    <w:rsid w:val="00502EEB"/>
    <w:rsid w:val="0050360C"/>
    <w:rsid w:val="00503F45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23D"/>
    <w:rsid w:val="00522689"/>
    <w:rsid w:val="005305E6"/>
    <w:rsid w:val="00534DE0"/>
    <w:rsid w:val="00536BB2"/>
    <w:rsid w:val="00537617"/>
    <w:rsid w:val="00537A3E"/>
    <w:rsid w:val="00537F6C"/>
    <w:rsid w:val="0054162F"/>
    <w:rsid w:val="005430C1"/>
    <w:rsid w:val="005434BF"/>
    <w:rsid w:val="0055045F"/>
    <w:rsid w:val="00550509"/>
    <w:rsid w:val="005528CB"/>
    <w:rsid w:val="00553429"/>
    <w:rsid w:val="00555249"/>
    <w:rsid w:val="005563AA"/>
    <w:rsid w:val="005565DE"/>
    <w:rsid w:val="005567B7"/>
    <w:rsid w:val="00557164"/>
    <w:rsid w:val="00561EB6"/>
    <w:rsid w:val="00564444"/>
    <w:rsid w:val="005655E7"/>
    <w:rsid w:val="00567770"/>
    <w:rsid w:val="0057048C"/>
    <w:rsid w:val="00572ABB"/>
    <w:rsid w:val="00573E33"/>
    <w:rsid w:val="005751F2"/>
    <w:rsid w:val="00580040"/>
    <w:rsid w:val="005817EC"/>
    <w:rsid w:val="0058188F"/>
    <w:rsid w:val="00584879"/>
    <w:rsid w:val="0058489E"/>
    <w:rsid w:val="005856DC"/>
    <w:rsid w:val="00586030"/>
    <w:rsid w:val="0058618C"/>
    <w:rsid w:val="00586DB3"/>
    <w:rsid w:val="00590D03"/>
    <w:rsid w:val="005915F3"/>
    <w:rsid w:val="00593AF6"/>
    <w:rsid w:val="005940C0"/>
    <w:rsid w:val="005A0AF6"/>
    <w:rsid w:val="005A0B47"/>
    <w:rsid w:val="005A0F30"/>
    <w:rsid w:val="005A2FB5"/>
    <w:rsid w:val="005A304B"/>
    <w:rsid w:val="005A3CC2"/>
    <w:rsid w:val="005B4151"/>
    <w:rsid w:val="005B4A3D"/>
    <w:rsid w:val="005B4E64"/>
    <w:rsid w:val="005B68D1"/>
    <w:rsid w:val="005B784F"/>
    <w:rsid w:val="005B7DC3"/>
    <w:rsid w:val="005C0363"/>
    <w:rsid w:val="005C211B"/>
    <w:rsid w:val="005C51AB"/>
    <w:rsid w:val="005D1607"/>
    <w:rsid w:val="005D1C13"/>
    <w:rsid w:val="005D4422"/>
    <w:rsid w:val="005D4D5D"/>
    <w:rsid w:val="005D5343"/>
    <w:rsid w:val="005D6BEE"/>
    <w:rsid w:val="005D7E88"/>
    <w:rsid w:val="005E020F"/>
    <w:rsid w:val="005E27C9"/>
    <w:rsid w:val="005E3F14"/>
    <w:rsid w:val="005F0A8E"/>
    <w:rsid w:val="005F3564"/>
    <w:rsid w:val="005F7CDC"/>
    <w:rsid w:val="00600059"/>
    <w:rsid w:val="0060041A"/>
    <w:rsid w:val="00602CD3"/>
    <w:rsid w:val="00604BC3"/>
    <w:rsid w:val="00605A20"/>
    <w:rsid w:val="00606B39"/>
    <w:rsid w:val="0061175D"/>
    <w:rsid w:val="0061430D"/>
    <w:rsid w:val="0061547B"/>
    <w:rsid w:val="00616A84"/>
    <w:rsid w:val="00624DC0"/>
    <w:rsid w:val="0062648F"/>
    <w:rsid w:val="00634469"/>
    <w:rsid w:val="00634719"/>
    <w:rsid w:val="0064074F"/>
    <w:rsid w:val="00640F67"/>
    <w:rsid w:val="00643610"/>
    <w:rsid w:val="00646176"/>
    <w:rsid w:val="00646F9C"/>
    <w:rsid w:val="006479C0"/>
    <w:rsid w:val="00650957"/>
    <w:rsid w:val="00650FD8"/>
    <w:rsid w:val="00651847"/>
    <w:rsid w:val="00655CB7"/>
    <w:rsid w:val="00657728"/>
    <w:rsid w:val="00657E6D"/>
    <w:rsid w:val="00662B8B"/>
    <w:rsid w:val="00662EFA"/>
    <w:rsid w:val="00670795"/>
    <w:rsid w:val="00670D98"/>
    <w:rsid w:val="00673108"/>
    <w:rsid w:val="00673AA9"/>
    <w:rsid w:val="00673CE0"/>
    <w:rsid w:val="00681311"/>
    <w:rsid w:val="006814D6"/>
    <w:rsid w:val="00681B7A"/>
    <w:rsid w:val="006823BE"/>
    <w:rsid w:val="0068296B"/>
    <w:rsid w:val="00682E3D"/>
    <w:rsid w:val="006864ED"/>
    <w:rsid w:val="00687646"/>
    <w:rsid w:val="006905E9"/>
    <w:rsid w:val="006955C8"/>
    <w:rsid w:val="00695CE7"/>
    <w:rsid w:val="006A1F86"/>
    <w:rsid w:val="006A3A21"/>
    <w:rsid w:val="006A46F9"/>
    <w:rsid w:val="006A57E4"/>
    <w:rsid w:val="006A7EE6"/>
    <w:rsid w:val="006B3277"/>
    <w:rsid w:val="006B4ED2"/>
    <w:rsid w:val="006C1080"/>
    <w:rsid w:val="006C536F"/>
    <w:rsid w:val="006C6C4F"/>
    <w:rsid w:val="006C7DF5"/>
    <w:rsid w:val="006D0AFD"/>
    <w:rsid w:val="006D2243"/>
    <w:rsid w:val="006D4256"/>
    <w:rsid w:val="006D5978"/>
    <w:rsid w:val="006D5CBC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20C0"/>
    <w:rsid w:val="006F3B18"/>
    <w:rsid w:val="006F4639"/>
    <w:rsid w:val="006F4E5E"/>
    <w:rsid w:val="00701336"/>
    <w:rsid w:val="00702FE6"/>
    <w:rsid w:val="007032C7"/>
    <w:rsid w:val="00703334"/>
    <w:rsid w:val="00703791"/>
    <w:rsid w:val="00706631"/>
    <w:rsid w:val="00712BD1"/>
    <w:rsid w:val="00714528"/>
    <w:rsid w:val="0071623D"/>
    <w:rsid w:val="00716256"/>
    <w:rsid w:val="00716433"/>
    <w:rsid w:val="00716779"/>
    <w:rsid w:val="00717914"/>
    <w:rsid w:val="00721439"/>
    <w:rsid w:val="00721AAA"/>
    <w:rsid w:val="00725066"/>
    <w:rsid w:val="00725884"/>
    <w:rsid w:val="00725D99"/>
    <w:rsid w:val="007309B5"/>
    <w:rsid w:val="00731195"/>
    <w:rsid w:val="00731774"/>
    <w:rsid w:val="00733B89"/>
    <w:rsid w:val="007344DE"/>
    <w:rsid w:val="0074057C"/>
    <w:rsid w:val="0074289B"/>
    <w:rsid w:val="00742B1D"/>
    <w:rsid w:val="00746AF5"/>
    <w:rsid w:val="00750A10"/>
    <w:rsid w:val="007519A2"/>
    <w:rsid w:val="00752F42"/>
    <w:rsid w:val="0075306E"/>
    <w:rsid w:val="00753FE7"/>
    <w:rsid w:val="007546D5"/>
    <w:rsid w:val="00756ECD"/>
    <w:rsid w:val="00760993"/>
    <w:rsid w:val="0076140C"/>
    <w:rsid w:val="0076427B"/>
    <w:rsid w:val="007644F5"/>
    <w:rsid w:val="0077013F"/>
    <w:rsid w:val="00771B08"/>
    <w:rsid w:val="00773685"/>
    <w:rsid w:val="0077380F"/>
    <w:rsid w:val="007752C0"/>
    <w:rsid w:val="00775B84"/>
    <w:rsid w:val="007826D4"/>
    <w:rsid w:val="007843AA"/>
    <w:rsid w:val="00784612"/>
    <w:rsid w:val="00785733"/>
    <w:rsid w:val="0078712F"/>
    <w:rsid w:val="0078713A"/>
    <w:rsid w:val="007875DE"/>
    <w:rsid w:val="00787658"/>
    <w:rsid w:val="0078785D"/>
    <w:rsid w:val="00790981"/>
    <w:rsid w:val="00791C95"/>
    <w:rsid w:val="007922A6"/>
    <w:rsid w:val="007947D9"/>
    <w:rsid w:val="0079555E"/>
    <w:rsid w:val="00797D60"/>
    <w:rsid w:val="007A10D6"/>
    <w:rsid w:val="007A2871"/>
    <w:rsid w:val="007A478D"/>
    <w:rsid w:val="007A6654"/>
    <w:rsid w:val="007B1B46"/>
    <w:rsid w:val="007B5DE0"/>
    <w:rsid w:val="007C0477"/>
    <w:rsid w:val="007C115C"/>
    <w:rsid w:val="007C19D7"/>
    <w:rsid w:val="007C3421"/>
    <w:rsid w:val="007C38E0"/>
    <w:rsid w:val="007C4233"/>
    <w:rsid w:val="007C4D80"/>
    <w:rsid w:val="007C50CE"/>
    <w:rsid w:val="007C5E40"/>
    <w:rsid w:val="007C6FD2"/>
    <w:rsid w:val="007D404F"/>
    <w:rsid w:val="007D5640"/>
    <w:rsid w:val="007D5F83"/>
    <w:rsid w:val="007E2333"/>
    <w:rsid w:val="007E2A3F"/>
    <w:rsid w:val="007E319B"/>
    <w:rsid w:val="007E697B"/>
    <w:rsid w:val="007E6F03"/>
    <w:rsid w:val="007E7F9E"/>
    <w:rsid w:val="007F24D4"/>
    <w:rsid w:val="007F2524"/>
    <w:rsid w:val="007F3774"/>
    <w:rsid w:val="007F4894"/>
    <w:rsid w:val="007F69C1"/>
    <w:rsid w:val="007F6A41"/>
    <w:rsid w:val="007F7539"/>
    <w:rsid w:val="007F7FD9"/>
    <w:rsid w:val="008000E9"/>
    <w:rsid w:val="00800574"/>
    <w:rsid w:val="0080068B"/>
    <w:rsid w:val="0080083E"/>
    <w:rsid w:val="008008E5"/>
    <w:rsid w:val="00801DE1"/>
    <w:rsid w:val="008033E0"/>
    <w:rsid w:val="00803829"/>
    <w:rsid w:val="00804572"/>
    <w:rsid w:val="00807E4A"/>
    <w:rsid w:val="00810B30"/>
    <w:rsid w:val="00810E04"/>
    <w:rsid w:val="008118AA"/>
    <w:rsid w:val="008151C0"/>
    <w:rsid w:val="008178F2"/>
    <w:rsid w:val="00821F78"/>
    <w:rsid w:val="00822745"/>
    <w:rsid w:val="00822EA5"/>
    <w:rsid w:val="008245CE"/>
    <w:rsid w:val="00825541"/>
    <w:rsid w:val="00825A74"/>
    <w:rsid w:val="00831F1E"/>
    <w:rsid w:val="00832B4C"/>
    <w:rsid w:val="00832D41"/>
    <w:rsid w:val="00832DD1"/>
    <w:rsid w:val="00833BE0"/>
    <w:rsid w:val="008355FC"/>
    <w:rsid w:val="008368AA"/>
    <w:rsid w:val="00840448"/>
    <w:rsid w:val="008408EA"/>
    <w:rsid w:val="008434BF"/>
    <w:rsid w:val="008451A6"/>
    <w:rsid w:val="00846256"/>
    <w:rsid w:val="00846330"/>
    <w:rsid w:val="00851563"/>
    <w:rsid w:val="0085268C"/>
    <w:rsid w:val="00853D25"/>
    <w:rsid w:val="00854910"/>
    <w:rsid w:val="0085492B"/>
    <w:rsid w:val="008606EB"/>
    <w:rsid w:val="0086149B"/>
    <w:rsid w:val="008619D4"/>
    <w:rsid w:val="00872094"/>
    <w:rsid w:val="00873F81"/>
    <w:rsid w:val="0087515A"/>
    <w:rsid w:val="0087599B"/>
    <w:rsid w:val="00877669"/>
    <w:rsid w:val="00877A27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A1B1B"/>
    <w:rsid w:val="008A4BC9"/>
    <w:rsid w:val="008A574E"/>
    <w:rsid w:val="008A586B"/>
    <w:rsid w:val="008A5D8B"/>
    <w:rsid w:val="008A611F"/>
    <w:rsid w:val="008B0427"/>
    <w:rsid w:val="008B208D"/>
    <w:rsid w:val="008B2DEB"/>
    <w:rsid w:val="008B3D16"/>
    <w:rsid w:val="008B70F7"/>
    <w:rsid w:val="008B7B7D"/>
    <w:rsid w:val="008C0FF5"/>
    <w:rsid w:val="008C190D"/>
    <w:rsid w:val="008C341B"/>
    <w:rsid w:val="008C3DDA"/>
    <w:rsid w:val="008C3E8F"/>
    <w:rsid w:val="008C3F3B"/>
    <w:rsid w:val="008C5853"/>
    <w:rsid w:val="008C632A"/>
    <w:rsid w:val="008D2918"/>
    <w:rsid w:val="008D3E17"/>
    <w:rsid w:val="008D4486"/>
    <w:rsid w:val="008D5264"/>
    <w:rsid w:val="008D5B84"/>
    <w:rsid w:val="008E0380"/>
    <w:rsid w:val="008E1ADA"/>
    <w:rsid w:val="008E311B"/>
    <w:rsid w:val="008E324F"/>
    <w:rsid w:val="008E33BF"/>
    <w:rsid w:val="008E43AD"/>
    <w:rsid w:val="008F043A"/>
    <w:rsid w:val="008F0AE3"/>
    <w:rsid w:val="008F1CC4"/>
    <w:rsid w:val="008F237C"/>
    <w:rsid w:val="008F3B74"/>
    <w:rsid w:val="008F5870"/>
    <w:rsid w:val="008F6A8E"/>
    <w:rsid w:val="00903F12"/>
    <w:rsid w:val="009057A6"/>
    <w:rsid w:val="00905855"/>
    <w:rsid w:val="00905CCA"/>
    <w:rsid w:val="00907A0F"/>
    <w:rsid w:val="00907F68"/>
    <w:rsid w:val="009104FC"/>
    <w:rsid w:val="00911352"/>
    <w:rsid w:val="00916667"/>
    <w:rsid w:val="00916A9F"/>
    <w:rsid w:val="0091719D"/>
    <w:rsid w:val="00921741"/>
    <w:rsid w:val="00921F45"/>
    <w:rsid w:val="009227C8"/>
    <w:rsid w:val="009259B6"/>
    <w:rsid w:val="009272E3"/>
    <w:rsid w:val="00930466"/>
    <w:rsid w:val="00931B52"/>
    <w:rsid w:val="00932ADB"/>
    <w:rsid w:val="009342F1"/>
    <w:rsid w:val="00935D16"/>
    <w:rsid w:val="00941B0A"/>
    <w:rsid w:val="0094254F"/>
    <w:rsid w:val="00942B91"/>
    <w:rsid w:val="009463D3"/>
    <w:rsid w:val="009464C4"/>
    <w:rsid w:val="0094730C"/>
    <w:rsid w:val="00950B4C"/>
    <w:rsid w:val="00950F74"/>
    <w:rsid w:val="0095485F"/>
    <w:rsid w:val="00954F38"/>
    <w:rsid w:val="00956E54"/>
    <w:rsid w:val="009577C8"/>
    <w:rsid w:val="00961E95"/>
    <w:rsid w:val="00963003"/>
    <w:rsid w:val="009676E8"/>
    <w:rsid w:val="00972D14"/>
    <w:rsid w:val="00972F1F"/>
    <w:rsid w:val="009758D4"/>
    <w:rsid w:val="00976352"/>
    <w:rsid w:val="0097692F"/>
    <w:rsid w:val="009800D4"/>
    <w:rsid w:val="00982802"/>
    <w:rsid w:val="00983F07"/>
    <w:rsid w:val="00984B43"/>
    <w:rsid w:val="009861A6"/>
    <w:rsid w:val="009919D2"/>
    <w:rsid w:val="009940B6"/>
    <w:rsid w:val="00994781"/>
    <w:rsid w:val="0099726F"/>
    <w:rsid w:val="0099798A"/>
    <w:rsid w:val="009A278C"/>
    <w:rsid w:val="009A2C41"/>
    <w:rsid w:val="009A604B"/>
    <w:rsid w:val="009A7042"/>
    <w:rsid w:val="009B0AA6"/>
    <w:rsid w:val="009B3B1C"/>
    <w:rsid w:val="009B3BA6"/>
    <w:rsid w:val="009B4764"/>
    <w:rsid w:val="009B63EE"/>
    <w:rsid w:val="009B6E3D"/>
    <w:rsid w:val="009B76B9"/>
    <w:rsid w:val="009C093A"/>
    <w:rsid w:val="009C1553"/>
    <w:rsid w:val="009C56C1"/>
    <w:rsid w:val="009C5AC2"/>
    <w:rsid w:val="009D194E"/>
    <w:rsid w:val="009D282F"/>
    <w:rsid w:val="009D2913"/>
    <w:rsid w:val="009D2F2C"/>
    <w:rsid w:val="009D533C"/>
    <w:rsid w:val="009D6045"/>
    <w:rsid w:val="009D6E94"/>
    <w:rsid w:val="009E2FE5"/>
    <w:rsid w:val="009E36B0"/>
    <w:rsid w:val="009E3F06"/>
    <w:rsid w:val="009E44C1"/>
    <w:rsid w:val="009E6F78"/>
    <w:rsid w:val="009F5E87"/>
    <w:rsid w:val="009F6962"/>
    <w:rsid w:val="00A0050B"/>
    <w:rsid w:val="00A0074C"/>
    <w:rsid w:val="00A03BA3"/>
    <w:rsid w:val="00A041B5"/>
    <w:rsid w:val="00A102AD"/>
    <w:rsid w:val="00A110DF"/>
    <w:rsid w:val="00A11193"/>
    <w:rsid w:val="00A12585"/>
    <w:rsid w:val="00A126CD"/>
    <w:rsid w:val="00A15864"/>
    <w:rsid w:val="00A15A71"/>
    <w:rsid w:val="00A163C3"/>
    <w:rsid w:val="00A16DAD"/>
    <w:rsid w:val="00A25373"/>
    <w:rsid w:val="00A254F2"/>
    <w:rsid w:val="00A26AE3"/>
    <w:rsid w:val="00A26B24"/>
    <w:rsid w:val="00A2784B"/>
    <w:rsid w:val="00A27BF4"/>
    <w:rsid w:val="00A3226B"/>
    <w:rsid w:val="00A329CB"/>
    <w:rsid w:val="00A35997"/>
    <w:rsid w:val="00A3647F"/>
    <w:rsid w:val="00A37214"/>
    <w:rsid w:val="00A405E2"/>
    <w:rsid w:val="00A41FFA"/>
    <w:rsid w:val="00A430CF"/>
    <w:rsid w:val="00A44258"/>
    <w:rsid w:val="00A45EDD"/>
    <w:rsid w:val="00A51FCD"/>
    <w:rsid w:val="00A5300C"/>
    <w:rsid w:val="00A53818"/>
    <w:rsid w:val="00A53C01"/>
    <w:rsid w:val="00A54920"/>
    <w:rsid w:val="00A57033"/>
    <w:rsid w:val="00A57074"/>
    <w:rsid w:val="00A60282"/>
    <w:rsid w:val="00A63A90"/>
    <w:rsid w:val="00A664C7"/>
    <w:rsid w:val="00A677A0"/>
    <w:rsid w:val="00A71113"/>
    <w:rsid w:val="00A7457A"/>
    <w:rsid w:val="00A74605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FCB"/>
    <w:rsid w:val="00A962B3"/>
    <w:rsid w:val="00A9689B"/>
    <w:rsid w:val="00A97052"/>
    <w:rsid w:val="00AA0BAB"/>
    <w:rsid w:val="00AA26BF"/>
    <w:rsid w:val="00AA2E71"/>
    <w:rsid w:val="00AA2E87"/>
    <w:rsid w:val="00AA58D4"/>
    <w:rsid w:val="00AA6FB2"/>
    <w:rsid w:val="00AA6FF9"/>
    <w:rsid w:val="00AA720C"/>
    <w:rsid w:val="00AB5549"/>
    <w:rsid w:val="00AB643E"/>
    <w:rsid w:val="00AB667D"/>
    <w:rsid w:val="00AC0CB3"/>
    <w:rsid w:val="00AC2883"/>
    <w:rsid w:val="00AC30E1"/>
    <w:rsid w:val="00AC3189"/>
    <w:rsid w:val="00AC607B"/>
    <w:rsid w:val="00AC6147"/>
    <w:rsid w:val="00AC6590"/>
    <w:rsid w:val="00AC6E89"/>
    <w:rsid w:val="00AC7A71"/>
    <w:rsid w:val="00AD00E1"/>
    <w:rsid w:val="00AD2306"/>
    <w:rsid w:val="00AD5365"/>
    <w:rsid w:val="00AD5B42"/>
    <w:rsid w:val="00AD6D3E"/>
    <w:rsid w:val="00AE0D42"/>
    <w:rsid w:val="00AE36B4"/>
    <w:rsid w:val="00AE37DE"/>
    <w:rsid w:val="00AE391C"/>
    <w:rsid w:val="00AE431E"/>
    <w:rsid w:val="00AE5D98"/>
    <w:rsid w:val="00AE65F0"/>
    <w:rsid w:val="00AE6A30"/>
    <w:rsid w:val="00AF26D1"/>
    <w:rsid w:val="00AF38D4"/>
    <w:rsid w:val="00AF391C"/>
    <w:rsid w:val="00AF4ACF"/>
    <w:rsid w:val="00AF4C30"/>
    <w:rsid w:val="00AF565E"/>
    <w:rsid w:val="00AF7050"/>
    <w:rsid w:val="00B01CBE"/>
    <w:rsid w:val="00B0376E"/>
    <w:rsid w:val="00B04883"/>
    <w:rsid w:val="00B057BA"/>
    <w:rsid w:val="00B06CA8"/>
    <w:rsid w:val="00B13BCE"/>
    <w:rsid w:val="00B1416F"/>
    <w:rsid w:val="00B1720C"/>
    <w:rsid w:val="00B24F5A"/>
    <w:rsid w:val="00B25A23"/>
    <w:rsid w:val="00B30A8E"/>
    <w:rsid w:val="00B30C34"/>
    <w:rsid w:val="00B33CBC"/>
    <w:rsid w:val="00B3618A"/>
    <w:rsid w:val="00B37D6F"/>
    <w:rsid w:val="00B41B18"/>
    <w:rsid w:val="00B436A9"/>
    <w:rsid w:val="00B44E38"/>
    <w:rsid w:val="00B51E73"/>
    <w:rsid w:val="00B54925"/>
    <w:rsid w:val="00B54D40"/>
    <w:rsid w:val="00B54FCD"/>
    <w:rsid w:val="00B63099"/>
    <w:rsid w:val="00B63B1F"/>
    <w:rsid w:val="00B67A87"/>
    <w:rsid w:val="00B70518"/>
    <w:rsid w:val="00B712F5"/>
    <w:rsid w:val="00B71BEC"/>
    <w:rsid w:val="00B722C8"/>
    <w:rsid w:val="00B7279B"/>
    <w:rsid w:val="00B74ED3"/>
    <w:rsid w:val="00B76FDF"/>
    <w:rsid w:val="00B80277"/>
    <w:rsid w:val="00B81C73"/>
    <w:rsid w:val="00B83D0A"/>
    <w:rsid w:val="00B83FA1"/>
    <w:rsid w:val="00B87155"/>
    <w:rsid w:val="00B91141"/>
    <w:rsid w:val="00B946E0"/>
    <w:rsid w:val="00B965CE"/>
    <w:rsid w:val="00B96E72"/>
    <w:rsid w:val="00B976A5"/>
    <w:rsid w:val="00B97821"/>
    <w:rsid w:val="00B97D16"/>
    <w:rsid w:val="00BA0D81"/>
    <w:rsid w:val="00BA1029"/>
    <w:rsid w:val="00BA19A8"/>
    <w:rsid w:val="00BA2FE1"/>
    <w:rsid w:val="00BA311F"/>
    <w:rsid w:val="00BA3643"/>
    <w:rsid w:val="00BA4494"/>
    <w:rsid w:val="00BA4E91"/>
    <w:rsid w:val="00BA50C6"/>
    <w:rsid w:val="00BA5536"/>
    <w:rsid w:val="00BA6A22"/>
    <w:rsid w:val="00BB2890"/>
    <w:rsid w:val="00BC1A38"/>
    <w:rsid w:val="00BC279F"/>
    <w:rsid w:val="00BC2971"/>
    <w:rsid w:val="00BC2D0C"/>
    <w:rsid w:val="00BC31A1"/>
    <w:rsid w:val="00BC5540"/>
    <w:rsid w:val="00BC641B"/>
    <w:rsid w:val="00BC7A07"/>
    <w:rsid w:val="00BD1008"/>
    <w:rsid w:val="00BD7461"/>
    <w:rsid w:val="00BE1EA9"/>
    <w:rsid w:val="00BE2229"/>
    <w:rsid w:val="00BE5408"/>
    <w:rsid w:val="00BE6868"/>
    <w:rsid w:val="00BE6F5F"/>
    <w:rsid w:val="00BE7F1F"/>
    <w:rsid w:val="00BF10D1"/>
    <w:rsid w:val="00BF5FED"/>
    <w:rsid w:val="00BF7A96"/>
    <w:rsid w:val="00C0031F"/>
    <w:rsid w:val="00C01D51"/>
    <w:rsid w:val="00C01E66"/>
    <w:rsid w:val="00C02261"/>
    <w:rsid w:val="00C02285"/>
    <w:rsid w:val="00C0323C"/>
    <w:rsid w:val="00C039C1"/>
    <w:rsid w:val="00C03F92"/>
    <w:rsid w:val="00C04607"/>
    <w:rsid w:val="00C04733"/>
    <w:rsid w:val="00C04B70"/>
    <w:rsid w:val="00C067FF"/>
    <w:rsid w:val="00C068FC"/>
    <w:rsid w:val="00C07336"/>
    <w:rsid w:val="00C13AD4"/>
    <w:rsid w:val="00C149DE"/>
    <w:rsid w:val="00C14CD4"/>
    <w:rsid w:val="00C201AB"/>
    <w:rsid w:val="00C21723"/>
    <w:rsid w:val="00C220BD"/>
    <w:rsid w:val="00C24348"/>
    <w:rsid w:val="00C32BF6"/>
    <w:rsid w:val="00C33A0E"/>
    <w:rsid w:val="00C347B2"/>
    <w:rsid w:val="00C4113B"/>
    <w:rsid w:val="00C412F0"/>
    <w:rsid w:val="00C44A1C"/>
    <w:rsid w:val="00C453A7"/>
    <w:rsid w:val="00C45AF5"/>
    <w:rsid w:val="00C45BEB"/>
    <w:rsid w:val="00C46F11"/>
    <w:rsid w:val="00C50ED4"/>
    <w:rsid w:val="00C53B7B"/>
    <w:rsid w:val="00C547AE"/>
    <w:rsid w:val="00C56F1D"/>
    <w:rsid w:val="00C57163"/>
    <w:rsid w:val="00C6135C"/>
    <w:rsid w:val="00C61A88"/>
    <w:rsid w:val="00C636A4"/>
    <w:rsid w:val="00C66CC4"/>
    <w:rsid w:val="00C67E1B"/>
    <w:rsid w:val="00C703B3"/>
    <w:rsid w:val="00C7299B"/>
    <w:rsid w:val="00C729F6"/>
    <w:rsid w:val="00C75177"/>
    <w:rsid w:val="00C7614D"/>
    <w:rsid w:val="00C779C3"/>
    <w:rsid w:val="00C77DC2"/>
    <w:rsid w:val="00C81207"/>
    <w:rsid w:val="00C8164C"/>
    <w:rsid w:val="00C816DA"/>
    <w:rsid w:val="00C82D4F"/>
    <w:rsid w:val="00C82F7A"/>
    <w:rsid w:val="00C83FBA"/>
    <w:rsid w:val="00C84770"/>
    <w:rsid w:val="00C86EE8"/>
    <w:rsid w:val="00C87688"/>
    <w:rsid w:val="00C90BBB"/>
    <w:rsid w:val="00C9148B"/>
    <w:rsid w:val="00C91FA5"/>
    <w:rsid w:val="00C9251F"/>
    <w:rsid w:val="00C938D3"/>
    <w:rsid w:val="00C93D63"/>
    <w:rsid w:val="00C95260"/>
    <w:rsid w:val="00C9664A"/>
    <w:rsid w:val="00C96CF0"/>
    <w:rsid w:val="00CA296E"/>
    <w:rsid w:val="00CA3915"/>
    <w:rsid w:val="00CA40E6"/>
    <w:rsid w:val="00CA6354"/>
    <w:rsid w:val="00CA6B5B"/>
    <w:rsid w:val="00CC0EC0"/>
    <w:rsid w:val="00CC576C"/>
    <w:rsid w:val="00CD0421"/>
    <w:rsid w:val="00CD2F7F"/>
    <w:rsid w:val="00CD32F3"/>
    <w:rsid w:val="00CD4977"/>
    <w:rsid w:val="00CE21F2"/>
    <w:rsid w:val="00CE4138"/>
    <w:rsid w:val="00CE45FE"/>
    <w:rsid w:val="00CE6060"/>
    <w:rsid w:val="00CF59D6"/>
    <w:rsid w:val="00CF5AF3"/>
    <w:rsid w:val="00CF60C3"/>
    <w:rsid w:val="00CF728D"/>
    <w:rsid w:val="00CF7D94"/>
    <w:rsid w:val="00D00E33"/>
    <w:rsid w:val="00D05519"/>
    <w:rsid w:val="00D058C3"/>
    <w:rsid w:val="00D11240"/>
    <w:rsid w:val="00D12314"/>
    <w:rsid w:val="00D130AE"/>
    <w:rsid w:val="00D14622"/>
    <w:rsid w:val="00D14DBF"/>
    <w:rsid w:val="00D16394"/>
    <w:rsid w:val="00D16C01"/>
    <w:rsid w:val="00D174B2"/>
    <w:rsid w:val="00D2146B"/>
    <w:rsid w:val="00D24994"/>
    <w:rsid w:val="00D24ABF"/>
    <w:rsid w:val="00D3088F"/>
    <w:rsid w:val="00D3443A"/>
    <w:rsid w:val="00D34CF6"/>
    <w:rsid w:val="00D36BBE"/>
    <w:rsid w:val="00D40048"/>
    <w:rsid w:val="00D400A8"/>
    <w:rsid w:val="00D41DFD"/>
    <w:rsid w:val="00D4221C"/>
    <w:rsid w:val="00D47C19"/>
    <w:rsid w:val="00D50667"/>
    <w:rsid w:val="00D50B7D"/>
    <w:rsid w:val="00D50D2B"/>
    <w:rsid w:val="00D50E60"/>
    <w:rsid w:val="00D52A7A"/>
    <w:rsid w:val="00D55D20"/>
    <w:rsid w:val="00D5633A"/>
    <w:rsid w:val="00D56AA7"/>
    <w:rsid w:val="00D56DDD"/>
    <w:rsid w:val="00D57392"/>
    <w:rsid w:val="00D60613"/>
    <w:rsid w:val="00D62B7E"/>
    <w:rsid w:val="00D62E80"/>
    <w:rsid w:val="00D63432"/>
    <w:rsid w:val="00D7080E"/>
    <w:rsid w:val="00D70D64"/>
    <w:rsid w:val="00D75F2F"/>
    <w:rsid w:val="00D83900"/>
    <w:rsid w:val="00D840B5"/>
    <w:rsid w:val="00D8509D"/>
    <w:rsid w:val="00D87C6A"/>
    <w:rsid w:val="00D901CA"/>
    <w:rsid w:val="00D922D9"/>
    <w:rsid w:val="00D922F0"/>
    <w:rsid w:val="00D92A7A"/>
    <w:rsid w:val="00D92C4B"/>
    <w:rsid w:val="00D93A2B"/>
    <w:rsid w:val="00D93D4B"/>
    <w:rsid w:val="00D943C9"/>
    <w:rsid w:val="00D94DAA"/>
    <w:rsid w:val="00D9611E"/>
    <w:rsid w:val="00D96242"/>
    <w:rsid w:val="00D96A4A"/>
    <w:rsid w:val="00DA1CC7"/>
    <w:rsid w:val="00DA24A7"/>
    <w:rsid w:val="00DA3467"/>
    <w:rsid w:val="00DA39E6"/>
    <w:rsid w:val="00DA4D73"/>
    <w:rsid w:val="00DB0ECE"/>
    <w:rsid w:val="00DB133A"/>
    <w:rsid w:val="00DB13EA"/>
    <w:rsid w:val="00DB63C4"/>
    <w:rsid w:val="00DB671C"/>
    <w:rsid w:val="00DB7783"/>
    <w:rsid w:val="00DC3FDD"/>
    <w:rsid w:val="00DC3FED"/>
    <w:rsid w:val="00DC4758"/>
    <w:rsid w:val="00DC7AD6"/>
    <w:rsid w:val="00DC7C81"/>
    <w:rsid w:val="00DD0E56"/>
    <w:rsid w:val="00DD181D"/>
    <w:rsid w:val="00DD235D"/>
    <w:rsid w:val="00DD4774"/>
    <w:rsid w:val="00DD4A67"/>
    <w:rsid w:val="00DD745F"/>
    <w:rsid w:val="00DD7544"/>
    <w:rsid w:val="00DE0792"/>
    <w:rsid w:val="00DE0F4C"/>
    <w:rsid w:val="00DE51B2"/>
    <w:rsid w:val="00DE533C"/>
    <w:rsid w:val="00DE58E6"/>
    <w:rsid w:val="00DE6631"/>
    <w:rsid w:val="00DE78D2"/>
    <w:rsid w:val="00DE7FE9"/>
    <w:rsid w:val="00DF05DC"/>
    <w:rsid w:val="00DF1A7C"/>
    <w:rsid w:val="00DF3E9B"/>
    <w:rsid w:val="00DF64B3"/>
    <w:rsid w:val="00DF6B2A"/>
    <w:rsid w:val="00DF7C13"/>
    <w:rsid w:val="00E003FC"/>
    <w:rsid w:val="00E003FD"/>
    <w:rsid w:val="00E0057B"/>
    <w:rsid w:val="00E0331D"/>
    <w:rsid w:val="00E042AE"/>
    <w:rsid w:val="00E04A9E"/>
    <w:rsid w:val="00E05A2D"/>
    <w:rsid w:val="00E05D63"/>
    <w:rsid w:val="00E06C97"/>
    <w:rsid w:val="00E114F3"/>
    <w:rsid w:val="00E14D1B"/>
    <w:rsid w:val="00E15653"/>
    <w:rsid w:val="00E15AB6"/>
    <w:rsid w:val="00E16652"/>
    <w:rsid w:val="00E17284"/>
    <w:rsid w:val="00E17520"/>
    <w:rsid w:val="00E21D57"/>
    <w:rsid w:val="00E254E7"/>
    <w:rsid w:val="00E27759"/>
    <w:rsid w:val="00E30BCC"/>
    <w:rsid w:val="00E32039"/>
    <w:rsid w:val="00E33673"/>
    <w:rsid w:val="00E337EF"/>
    <w:rsid w:val="00E33D5A"/>
    <w:rsid w:val="00E344BA"/>
    <w:rsid w:val="00E34FFB"/>
    <w:rsid w:val="00E356B6"/>
    <w:rsid w:val="00E37FDC"/>
    <w:rsid w:val="00E42FA4"/>
    <w:rsid w:val="00E44A77"/>
    <w:rsid w:val="00E5295E"/>
    <w:rsid w:val="00E5589D"/>
    <w:rsid w:val="00E55A60"/>
    <w:rsid w:val="00E6020E"/>
    <w:rsid w:val="00E61AC0"/>
    <w:rsid w:val="00E61B70"/>
    <w:rsid w:val="00E65E29"/>
    <w:rsid w:val="00E7266B"/>
    <w:rsid w:val="00E74021"/>
    <w:rsid w:val="00E769D5"/>
    <w:rsid w:val="00E832A8"/>
    <w:rsid w:val="00E84B56"/>
    <w:rsid w:val="00E8599B"/>
    <w:rsid w:val="00E86144"/>
    <w:rsid w:val="00E861C3"/>
    <w:rsid w:val="00E87E0A"/>
    <w:rsid w:val="00E9137A"/>
    <w:rsid w:val="00E93820"/>
    <w:rsid w:val="00E94417"/>
    <w:rsid w:val="00EA2B26"/>
    <w:rsid w:val="00EA4B59"/>
    <w:rsid w:val="00EA5CAA"/>
    <w:rsid w:val="00EA7D19"/>
    <w:rsid w:val="00EB151F"/>
    <w:rsid w:val="00EB1B03"/>
    <w:rsid w:val="00EB241A"/>
    <w:rsid w:val="00EB330E"/>
    <w:rsid w:val="00EB54AD"/>
    <w:rsid w:val="00EB78C0"/>
    <w:rsid w:val="00EC1285"/>
    <w:rsid w:val="00EC323F"/>
    <w:rsid w:val="00EC35DC"/>
    <w:rsid w:val="00EC43F1"/>
    <w:rsid w:val="00EC4C73"/>
    <w:rsid w:val="00EC5678"/>
    <w:rsid w:val="00EC66D7"/>
    <w:rsid w:val="00EC6EE1"/>
    <w:rsid w:val="00ED0A6D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3AD"/>
    <w:rsid w:val="00EE5952"/>
    <w:rsid w:val="00EE682F"/>
    <w:rsid w:val="00EE6B68"/>
    <w:rsid w:val="00EF30F2"/>
    <w:rsid w:val="00EF46B9"/>
    <w:rsid w:val="00EF6790"/>
    <w:rsid w:val="00F00874"/>
    <w:rsid w:val="00F00ABF"/>
    <w:rsid w:val="00F01017"/>
    <w:rsid w:val="00F0118E"/>
    <w:rsid w:val="00F0395D"/>
    <w:rsid w:val="00F052F7"/>
    <w:rsid w:val="00F054BF"/>
    <w:rsid w:val="00F0715C"/>
    <w:rsid w:val="00F101C3"/>
    <w:rsid w:val="00F13C8A"/>
    <w:rsid w:val="00F143BC"/>
    <w:rsid w:val="00F1540D"/>
    <w:rsid w:val="00F16D5F"/>
    <w:rsid w:val="00F1765E"/>
    <w:rsid w:val="00F1798C"/>
    <w:rsid w:val="00F2135C"/>
    <w:rsid w:val="00F222FF"/>
    <w:rsid w:val="00F252C8"/>
    <w:rsid w:val="00F27A2E"/>
    <w:rsid w:val="00F30956"/>
    <w:rsid w:val="00F3116F"/>
    <w:rsid w:val="00F34016"/>
    <w:rsid w:val="00F3466D"/>
    <w:rsid w:val="00F35807"/>
    <w:rsid w:val="00F359CD"/>
    <w:rsid w:val="00F35DF1"/>
    <w:rsid w:val="00F36160"/>
    <w:rsid w:val="00F4160F"/>
    <w:rsid w:val="00F425F1"/>
    <w:rsid w:val="00F42B77"/>
    <w:rsid w:val="00F466C8"/>
    <w:rsid w:val="00F47832"/>
    <w:rsid w:val="00F507D9"/>
    <w:rsid w:val="00F52D51"/>
    <w:rsid w:val="00F53BAF"/>
    <w:rsid w:val="00F54A25"/>
    <w:rsid w:val="00F55935"/>
    <w:rsid w:val="00F6017B"/>
    <w:rsid w:val="00F6083B"/>
    <w:rsid w:val="00F637FD"/>
    <w:rsid w:val="00F6447D"/>
    <w:rsid w:val="00F70FEA"/>
    <w:rsid w:val="00F71ABD"/>
    <w:rsid w:val="00F728BA"/>
    <w:rsid w:val="00F729D4"/>
    <w:rsid w:val="00F74242"/>
    <w:rsid w:val="00F80B24"/>
    <w:rsid w:val="00F82461"/>
    <w:rsid w:val="00F824D9"/>
    <w:rsid w:val="00F86E1F"/>
    <w:rsid w:val="00F8799E"/>
    <w:rsid w:val="00F90857"/>
    <w:rsid w:val="00F91CD2"/>
    <w:rsid w:val="00F92CE8"/>
    <w:rsid w:val="00F93013"/>
    <w:rsid w:val="00F93839"/>
    <w:rsid w:val="00F93942"/>
    <w:rsid w:val="00F94017"/>
    <w:rsid w:val="00FA12AD"/>
    <w:rsid w:val="00FA2DC2"/>
    <w:rsid w:val="00FA3034"/>
    <w:rsid w:val="00FA357B"/>
    <w:rsid w:val="00FA4D15"/>
    <w:rsid w:val="00FA4E60"/>
    <w:rsid w:val="00FA5558"/>
    <w:rsid w:val="00FA6116"/>
    <w:rsid w:val="00FA6663"/>
    <w:rsid w:val="00FB0127"/>
    <w:rsid w:val="00FB47A5"/>
    <w:rsid w:val="00FB6DBF"/>
    <w:rsid w:val="00FB718D"/>
    <w:rsid w:val="00FC3EC2"/>
    <w:rsid w:val="00FD3213"/>
    <w:rsid w:val="00FD6AD6"/>
    <w:rsid w:val="00FD7D97"/>
    <w:rsid w:val="00FE0B86"/>
    <w:rsid w:val="00FE30B0"/>
    <w:rsid w:val="00FE5E3F"/>
    <w:rsid w:val="00FE6947"/>
    <w:rsid w:val="00FE7550"/>
    <w:rsid w:val="00FE7A65"/>
    <w:rsid w:val="00FF0F38"/>
    <w:rsid w:val="00FF530E"/>
    <w:rsid w:val="00FF6D7C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098953776611256"/>
          <c:y val="2.7777777777777776E-2"/>
        </c:manualLayout>
      </c:layout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 за 1 квартал  2019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Безвозмездные поступления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0.72299999999999998</c:v>
                </c:pt>
                <c:pt idx="1">
                  <c:v>0.24199999999999999</c:v>
                </c:pt>
                <c:pt idx="2">
                  <c:v>3.5000000000000003E-2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t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5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1707888189667788E-2"/>
          <c:w val="1"/>
          <c:h val="0.986356838805822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9 месяцев 2018 года</c:v>
                </c:pt>
              </c:strCache>
            </c:strRef>
          </c:tx>
          <c:explosion val="50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Лист1!$A$2:$A$18</c:f>
              <c:strCache>
                <c:ptCount val="17"/>
                <c:pt idx="0">
                  <c:v>МП «Совершенствование механизмов экон. Развития</c:v>
                </c:pt>
                <c:pt idx="1">
                  <c:v>МП «Труд»</c:v>
                </c:pt>
                <c:pt idx="2">
                  <c:v>МП  «Образование»</c:v>
                </c:pt>
                <c:pt idx="3">
                  <c:v>МП  «Культура»</c:v>
                </c:pt>
                <c:pt idx="4">
                  <c:v>МП  «Молодежь»</c:v>
                </c:pt>
                <c:pt idx="5">
                  <c:v>МП  «Доступное жилье»</c:v>
                </c:pt>
                <c:pt idx="6">
                  <c:v>МП  «Физическая культура и спорт»</c:v>
                </c:pt>
                <c:pt idx="7">
                  <c:v>МП  «Охрана здоровья населения»</c:v>
                </c:pt>
                <c:pt idx="8">
                  <c:v>МП «Обеспечение комплексных мер безопасности»</c:v>
                </c:pt>
                <c:pt idx="9">
                  <c:v>МП  «Поддержка отдельных категорий граждан и социально ориентированных некоммерческих организаций»</c:v>
                </c:pt>
                <c:pt idx="10">
                  <c:v>МП  «Транспортное обслуживание населения»</c:v>
                </c:pt>
                <c:pt idx="11">
                  <c:v>МП  «Жилищно-коммунальное хозяйство»</c:v>
                </c:pt>
                <c:pt idx="12">
                  <c:v>МП  «Охрана окружающей среды»</c:v>
                </c:pt>
                <c:pt idx="13">
                  <c:v>МП  «Городские дороги»</c:v>
                </c:pt>
                <c:pt idx="14">
                  <c:v>МП «Градостроительство»</c:v>
                </c:pt>
                <c:pt idx="15">
                  <c:v>МП  «Формирование современной городской среды»</c:v>
                </c:pt>
                <c:pt idx="16">
                  <c:v>НЕПРОГРАММНЫЕ РАСХОДЫ</c:v>
                </c:pt>
              </c:strCache>
            </c:strRef>
          </c:cat>
          <c:val>
            <c:numRef>
              <c:f>Лист1!$B$2:$B$18</c:f>
              <c:numCache>
                <c:formatCode>0.0%</c:formatCode>
                <c:ptCount val="17"/>
                <c:pt idx="0">
                  <c:v>3.0000000000000001E-3</c:v>
                </c:pt>
                <c:pt idx="1">
                  <c:v>1E-3</c:v>
                </c:pt>
                <c:pt idx="2">
                  <c:v>0.68799999999999994</c:v>
                </c:pt>
                <c:pt idx="3">
                  <c:v>4.8000000000000001E-2</c:v>
                </c:pt>
                <c:pt idx="4" formatCode="0.00%">
                  <c:v>1E-4</c:v>
                </c:pt>
                <c:pt idx="5">
                  <c:v>0</c:v>
                </c:pt>
                <c:pt idx="6">
                  <c:v>2.4E-2</c:v>
                </c:pt>
                <c:pt idx="7">
                  <c:v>3.0000000000000001E-3</c:v>
                </c:pt>
                <c:pt idx="8" formatCode="0.00%">
                  <c:v>5.9999999999999995E-4</c:v>
                </c:pt>
                <c:pt idx="9">
                  <c:v>6.9000000000000006E-2</c:v>
                </c:pt>
                <c:pt idx="10" formatCode="0.00%">
                  <c:v>6.9999999999999999E-4</c:v>
                </c:pt>
                <c:pt idx="11">
                  <c:v>2.5000000000000001E-2</c:v>
                </c:pt>
                <c:pt idx="12" formatCode="0.00%">
                  <c:v>5.0000000000000001E-4</c:v>
                </c:pt>
                <c:pt idx="13" formatCode="0.00%">
                  <c:v>2.35E-2</c:v>
                </c:pt>
                <c:pt idx="14" formatCode="0.00%">
                  <c:v>0</c:v>
                </c:pt>
                <c:pt idx="15" formatCode="0.00%">
                  <c:v>4.0000000000000002E-4</c:v>
                </c:pt>
                <c:pt idx="16">
                  <c:v>0.11600000000000001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BBF4-6FAD-4799-9197-BC737121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9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270</cp:revision>
  <cp:lastPrinted>2019-05-15T00:35:00Z</cp:lastPrinted>
  <dcterms:created xsi:type="dcterms:W3CDTF">2018-10-12T00:21:00Z</dcterms:created>
  <dcterms:modified xsi:type="dcterms:W3CDTF">2019-05-22T01:28:00Z</dcterms:modified>
</cp:coreProperties>
</file>