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0F5AFC" w:rsidP="00D14622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8B52B9">
        <w:rPr>
          <w:b/>
        </w:rPr>
        <w:t>14-э</w:t>
      </w:r>
    </w:p>
    <w:p w:rsidR="00CC3C66" w:rsidRDefault="004A7078" w:rsidP="004A7078">
      <w:pPr>
        <w:jc w:val="center"/>
        <w:rPr>
          <w:b/>
        </w:rPr>
      </w:pPr>
      <w:r w:rsidRPr="00A57033">
        <w:rPr>
          <w:b/>
        </w:rPr>
        <w:t xml:space="preserve">по результатам </w:t>
      </w:r>
      <w:r w:rsidR="00CC3C66">
        <w:rPr>
          <w:b/>
        </w:rPr>
        <w:t xml:space="preserve">проведения </w:t>
      </w:r>
      <w:r w:rsidRPr="00A57033">
        <w:rPr>
          <w:b/>
        </w:rPr>
        <w:t xml:space="preserve">экспертно-аналитического </w:t>
      </w:r>
      <w:r w:rsidR="00CC3C66">
        <w:rPr>
          <w:b/>
        </w:rPr>
        <w:t xml:space="preserve">мероприятия </w:t>
      </w:r>
    </w:p>
    <w:p w:rsidR="00CC3C66" w:rsidRDefault="00CC3C66" w:rsidP="004A7078">
      <w:pPr>
        <w:jc w:val="center"/>
        <w:rPr>
          <w:b/>
        </w:rPr>
      </w:pPr>
      <w:r>
        <w:rPr>
          <w:b/>
        </w:rPr>
        <w:t xml:space="preserve">на проект  решения Думы городского округа  </w:t>
      </w:r>
    </w:p>
    <w:p w:rsidR="00CC3C66" w:rsidRDefault="00CC3C66" w:rsidP="00CC3C66">
      <w:pPr>
        <w:jc w:val="center"/>
        <w:rPr>
          <w:b/>
        </w:rPr>
      </w:pPr>
      <w:r>
        <w:rPr>
          <w:b/>
        </w:rPr>
        <w:t xml:space="preserve">«Об утверждении отчета об исполнении бюджета </w:t>
      </w:r>
    </w:p>
    <w:p w:rsidR="004A7078" w:rsidRPr="00CC3C66" w:rsidRDefault="00CC3C66" w:rsidP="00CC3C66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4A7078" w:rsidRPr="00A57033">
        <w:rPr>
          <w:b/>
        </w:rPr>
        <w:t>– «город Тулун»</w:t>
      </w:r>
      <w:r>
        <w:rPr>
          <w:b/>
        </w:rPr>
        <w:t xml:space="preserve"> </w:t>
      </w:r>
      <w:r w:rsidR="008E33BF">
        <w:rPr>
          <w:b/>
        </w:rPr>
        <w:t xml:space="preserve">за </w:t>
      </w:r>
      <w:r w:rsidR="004A7078" w:rsidRPr="00A57033">
        <w:rPr>
          <w:b/>
        </w:rPr>
        <w:t>201</w:t>
      </w:r>
      <w:r w:rsidR="004D5ECD">
        <w:rPr>
          <w:b/>
        </w:rPr>
        <w:t>8</w:t>
      </w:r>
      <w:r>
        <w:rPr>
          <w:b/>
        </w:rPr>
        <w:t xml:space="preserve"> год».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Default="00CC3C66" w:rsidP="004A7078">
      <w:pPr>
        <w:jc w:val="both"/>
      </w:pPr>
      <w:r>
        <w:t>2</w:t>
      </w:r>
      <w:r w:rsidR="00E659D1">
        <w:t>0</w:t>
      </w:r>
      <w:r w:rsidR="00B712F5">
        <w:t xml:space="preserve">  </w:t>
      </w:r>
      <w:r>
        <w:t xml:space="preserve">мая </w:t>
      </w:r>
      <w:r w:rsidR="004D5ECD">
        <w:t>201</w:t>
      </w:r>
      <w:r>
        <w:t>9</w:t>
      </w:r>
      <w:r w:rsidR="004A7078" w:rsidRPr="00A57033">
        <w:t xml:space="preserve"> года                                </w:t>
      </w:r>
      <w:r w:rsidR="00B712F5">
        <w:t xml:space="preserve">          </w:t>
      </w:r>
      <w:r w:rsidR="009B2601" w:rsidRPr="009B2601">
        <w:t xml:space="preserve">  </w:t>
      </w:r>
      <w:r w:rsidR="009B2601" w:rsidRPr="00CC3C66">
        <w:t xml:space="preserve">                                           </w:t>
      </w:r>
      <w:r w:rsidR="00B712F5">
        <w:t xml:space="preserve">             </w:t>
      </w:r>
      <w:r>
        <w:t xml:space="preserve">     </w:t>
      </w:r>
      <w:r w:rsidR="00B712F5">
        <w:t xml:space="preserve"> город</w:t>
      </w:r>
      <w:r w:rsidR="004A7078" w:rsidRPr="00A57033">
        <w:t xml:space="preserve"> Тулун</w:t>
      </w:r>
    </w:p>
    <w:p w:rsidR="00CC3C66" w:rsidRDefault="00CC3C66" w:rsidP="004A7078">
      <w:pPr>
        <w:jc w:val="both"/>
      </w:pPr>
    </w:p>
    <w:p w:rsidR="00CC3C66" w:rsidRDefault="00CC3C66" w:rsidP="004A7078">
      <w:pPr>
        <w:jc w:val="both"/>
      </w:pPr>
      <w:r>
        <w:tab/>
      </w:r>
      <w:proofErr w:type="gramStart"/>
      <w:r>
        <w:t>Заключение по результатам проведения экспертизы проекта решения Думы городского округа «Об утверждении отчета об исполнении бюджета муниципального образования – «город Тулун» за 2018 год», подготовлено Контрольно-счетной палатой муниципального образования – «город Тулун»</w:t>
      </w:r>
      <w:r w:rsidR="00612618">
        <w:t xml:space="preserve"> (далее – КСП города Тулуна)</w:t>
      </w:r>
      <w:r>
        <w:t xml:space="preserve"> на основании </w:t>
      </w:r>
      <w:r w:rsidR="00EF45B1" w:rsidRPr="00A57033">
        <w:t xml:space="preserve">ст. 268.1 Бюджетного кодекса Российской Федерации, </w:t>
      </w:r>
      <w:r>
        <w:t>пункта 2 части 2 статьи 9 Федерального закона от 07.02</w:t>
      </w:r>
      <w:bookmarkStart w:id="0" w:name="_GoBack"/>
      <w:bookmarkEnd w:id="0"/>
      <w:r>
        <w:t>.2011 года №6</w:t>
      </w:r>
      <w:r w:rsidR="00EF45B1">
        <w:t xml:space="preserve"> </w:t>
      </w:r>
      <w:r>
        <w:t>- ФЗ «Об общих принципах организации и</w:t>
      </w:r>
      <w:proofErr w:type="gramEnd"/>
      <w:r>
        <w:t xml:space="preserve"> деятельности контрольно-счетных органов субъектов Российской Федерации и муниципальных образований»</w:t>
      </w:r>
      <w:r w:rsidR="00B10FDB">
        <w:t xml:space="preserve">, </w:t>
      </w:r>
      <w:r w:rsidR="00EF45B1">
        <w:t>Положения</w:t>
      </w:r>
      <w:r w:rsidR="00B10FDB" w:rsidRPr="00A57033">
        <w:t xml:space="preserve"> о контрольно-счетной палате городского округа муниципального образования  «город Тулун», утвержденным решением Думы городского округа от 18.12.2013 года № 34-ДГО</w:t>
      </w:r>
      <w:r w:rsidR="00B10FDB">
        <w:t>.</w:t>
      </w:r>
    </w:p>
    <w:p w:rsidR="008261B1" w:rsidRDefault="00CC3C66" w:rsidP="009470A8">
      <w:pPr>
        <w:ind w:firstLine="708"/>
        <w:jc w:val="both"/>
      </w:pPr>
      <w:r>
        <w:t>Настоящее заключение на отчет об исполнении бюджета подготовлено в соответствии с пунктом 4 статьи 264.4 Бюджетного кодекса РФ, с учетом данных внешней проверки годовой бюджетной отчетности главных ад</w:t>
      </w:r>
      <w:r w:rsidR="009470A8">
        <w:t>министраторов бюджетных средств и годового отчета об исполнении бюджета муниципального образования – «город Тулун»,</w:t>
      </w:r>
      <w:r>
        <w:t xml:space="preserve"> отраженных в заключени</w:t>
      </w:r>
      <w:proofErr w:type="gramStart"/>
      <w:r>
        <w:t>и</w:t>
      </w:r>
      <w:proofErr w:type="gramEnd"/>
      <w:r>
        <w:t xml:space="preserve"> КСП</w:t>
      </w:r>
      <w:r w:rsidR="00612618">
        <w:t xml:space="preserve"> города Тулуна</w:t>
      </w:r>
      <w:r>
        <w:t xml:space="preserve"> от 07.05.2019г</w:t>
      </w:r>
      <w:r w:rsidR="00612618">
        <w:t xml:space="preserve"> №8-э</w:t>
      </w:r>
      <w:r>
        <w:t xml:space="preserve">. </w:t>
      </w:r>
      <w:r w:rsidR="009470A8">
        <w:t xml:space="preserve"> </w:t>
      </w:r>
      <w:proofErr w:type="gramStart"/>
      <w:r>
        <w:t xml:space="preserve">В ходе </w:t>
      </w:r>
      <w:r w:rsidR="009470A8">
        <w:t xml:space="preserve">проведения </w:t>
      </w:r>
      <w:r w:rsidR="009470A8" w:rsidRPr="009470A8">
        <w:t>проверки годовой бюджетной отчетности главных администраторов бюджетных средств и годового отчета об исполнении бюджета муниципального образования – «город Тулун»</w:t>
      </w:r>
      <w:r>
        <w:t xml:space="preserve"> проанализированы документы, составляющие бухгалтерскую отчетность, бюджетную отчетность об исполнении бюджета муниципального образования – «город Тулун» за 2018 год, отраженные в заключении по проведению внешней проверки </w:t>
      </w:r>
      <w:r w:rsidR="00B10FDB">
        <w:t xml:space="preserve"> годовой бюджетной отчетности об исполнении местного бюджета за 2018 год.</w:t>
      </w:r>
      <w:proofErr w:type="gramEnd"/>
      <w:r w:rsidR="00B10FDB">
        <w:t xml:space="preserve"> В основу настоящего заключения вошли выводы, факты и обоснования, установленные при проведении в</w:t>
      </w:r>
      <w:r w:rsidR="009470A8">
        <w:t xml:space="preserve">нешней проверки </w:t>
      </w:r>
      <w:r w:rsidR="009470A8" w:rsidRPr="009470A8">
        <w:t>годовой бюджетной отчетности главных администраторов бюджетных средств и годового отчета об исполнении бюджета муницип</w:t>
      </w:r>
      <w:r w:rsidR="009470A8">
        <w:t>ального образования – «город Тул</w:t>
      </w:r>
      <w:r w:rsidR="009470A8" w:rsidRPr="009470A8">
        <w:t>ун»</w:t>
      </w:r>
      <w:r w:rsidR="009470A8">
        <w:t>.</w:t>
      </w:r>
    </w:p>
    <w:p w:rsidR="009470A8" w:rsidRDefault="009470A8" w:rsidP="009470A8">
      <w:pPr>
        <w:ind w:firstLine="708"/>
        <w:jc w:val="both"/>
      </w:pPr>
    </w:p>
    <w:p w:rsidR="008261B1" w:rsidRPr="008C10AB" w:rsidRDefault="008C10AB" w:rsidP="008C10AB">
      <w:pPr>
        <w:ind w:left="360"/>
        <w:jc w:val="center"/>
        <w:rPr>
          <w:b/>
        </w:rPr>
      </w:pPr>
      <w:r w:rsidRPr="008C10AB">
        <w:rPr>
          <w:b/>
        </w:rPr>
        <w:t>1.</w:t>
      </w:r>
      <w:r>
        <w:rPr>
          <w:b/>
        </w:rPr>
        <w:t xml:space="preserve"> </w:t>
      </w:r>
      <w:r w:rsidR="008261B1" w:rsidRPr="008C10AB">
        <w:rPr>
          <w:b/>
        </w:rPr>
        <w:t>Соблюдение порядка внесения годового отчета об исполнении бюджета в представительный орган</w:t>
      </w:r>
    </w:p>
    <w:p w:rsidR="008261B1" w:rsidRDefault="008261B1" w:rsidP="008261B1">
      <w:pPr>
        <w:jc w:val="center"/>
      </w:pPr>
    </w:p>
    <w:p w:rsidR="008261B1" w:rsidRDefault="008261B1" w:rsidP="009470A8">
      <w:pPr>
        <w:ind w:firstLine="360"/>
        <w:jc w:val="both"/>
      </w:pPr>
      <w:r>
        <w:t>Статья 264.5 Бюджетного Кодекса Российской Федерации регулирует вопросы представления, рассмотрения и утверждения годового отчета об исполнении бюджета законодательным (представительным) органом.</w:t>
      </w:r>
    </w:p>
    <w:p w:rsidR="008261B1" w:rsidRDefault="008261B1" w:rsidP="009470A8">
      <w:pPr>
        <w:ind w:firstLine="360"/>
        <w:jc w:val="both"/>
      </w:pPr>
      <w:r>
        <w:t>Годовой отчет об исполнении бюджета вносится в законодательный (представительный) орган в срок до 1 мая. Бюджетный кодекс Российской Федерации предусматривает, что одновременно с отчетом об исполнении бюджета вносится и ряд  других документов</w:t>
      </w:r>
      <w:r w:rsidR="00E47A8D">
        <w:t>. К таким документам относятся:</w:t>
      </w:r>
    </w:p>
    <w:p w:rsidR="00E47A8D" w:rsidRDefault="00E47A8D" w:rsidP="009470A8">
      <w:pPr>
        <w:jc w:val="both"/>
      </w:pPr>
      <w:r>
        <w:lastRenderedPageBreak/>
        <w:t>- иная бюджетная отчетность об исполнении соответствующего бюджета, к которой относятся баланс исполнения бюджета, отчет о финансовых результатах деятельности, отчет о движении денежных средств, пояснительная записка.</w:t>
      </w:r>
    </w:p>
    <w:p w:rsidR="00E47A8D" w:rsidRDefault="00E47A8D" w:rsidP="009470A8">
      <w:pPr>
        <w:ind w:firstLine="360"/>
        <w:jc w:val="both"/>
      </w:pPr>
      <w:r>
        <w:t>Проект решения Думы города «Об утверждении отчета об исполнении бюджета муниципального образования – «город Тулун» за 2018 год» и предусмотренный перечень форм годовой бюджетной отчетности внесен администрацией городского округа в представительный орган в</w:t>
      </w:r>
      <w:r w:rsidR="00A65DF1">
        <w:t xml:space="preserve"> установленный срок</w:t>
      </w:r>
      <w:r w:rsidR="004734B1">
        <w:t xml:space="preserve"> - </w:t>
      </w:r>
      <w:r w:rsidR="00A65DF1">
        <w:t xml:space="preserve"> 30.04.2019г.</w:t>
      </w:r>
      <w:r>
        <w:t xml:space="preserve"> </w:t>
      </w:r>
    </w:p>
    <w:p w:rsidR="008C10AB" w:rsidRDefault="008C10AB" w:rsidP="00612618">
      <w:pPr>
        <w:jc w:val="both"/>
      </w:pPr>
    </w:p>
    <w:p w:rsidR="008C10AB" w:rsidRPr="008C10AB" w:rsidRDefault="008C10AB" w:rsidP="008C10AB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Pr="008C10AB">
        <w:rPr>
          <w:b/>
        </w:rPr>
        <w:t>Правовая экспертиза проекта решения Думы городского округа «Об утверждении годового отчета об исполнении бюджета</w:t>
      </w:r>
      <w:r w:rsidR="001B2998">
        <w:rPr>
          <w:b/>
        </w:rPr>
        <w:t xml:space="preserve"> муниципального образования – «город Тулун</w:t>
      </w:r>
      <w:r w:rsidRPr="008C10AB">
        <w:rPr>
          <w:b/>
        </w:rPr>
        <w:t>»</w:t>
      </w:r>
      <w:r w:rsidR="001B2998">
        <w:rPr>
          <w:b/>
        </w:rPr>
        <w:t xml:space="preserve"> за 2018 год»</w:t>
      </w:r>
    </w:p>
    <w:p w:rsidR="008C10AB" w:rsidRDefault="008C10AB" w:rsidP="008C10AB">
      <w:pPr>
        <w:pStyle w:val="a3"/>
        <w:rPr>
          <w:b/>
        </w:rPr>
      </w:pPr>
    </w:p>
    <w:p w:rsidR="008C10AB" w:rsidRDefault="008C10AB" w:rsidP="009470A8">
      <w:pPr>
        <w:ind w:firstLine="284"/>
        <w:jc w:val="both"/>
      </w:pPr>
      <w:r w:rsidRPr="008C10AB">
        <w:t xml:space="preserve">Статьей </w:t>
      </w:r>
      <w:r>
        <w:t xml:space="preserve"> 264.6 Бюджетного Кодекса Российской Федерации предусмотрено утверждение отчета об исполнении бюджета за отчетный финансовый год с указанием общего объема доходов, расходов и дефицита (профицита) бюджета. Отдельными положениями к решению об исполнении бюджета за отчетный финансовый год утверждаются показатели:</w:t>
      </w:r>
    </w:p>
    <w:p w:rsidR="008C10AB" w:rsidRDefault="008C10AB" w:rsidP="009470A8">
      <w:pPr>
        <w:ind w:firstLine="284"/>
        <w:jc w:val="both"/>
      </w:pPr>
      <w:r>
        <w:t>- доходов бюджета по кодам классификации доходов бюджетов;</w:t>
      </w:r>
    </w:p>
    <w:p w:rsidR="008C10AB" w:rsidRDefault="008C10AB" w:rsidP="009470A8">
      <w:pPr>
        <w:pStyle w:val="a3"/>
        <w:ind w:left="284"/>
        <w:jc w:val="both"/>
      </w:pPr>
      <w:r>
        <w:t>- расходов бюджета по ведомственной структуре расходов соответствующего бюджета;</w:t>
      </w:r>
    </w:p>
    <w:p w:rsidR="008C10AB" w:rsidRDefault="008C10AB" w:rsidP="009470A8">
      <w:pPr>
        <w:ind w:firstLine="284"/>
        <w:jc w:val="both"/>
      </w:pPr>
      <w:r>
        <w:t>- расходов бюджета по разделам и подразделам классификации расходов бюджетов;</w:t>
      </w:r>
    </w:p>
    <w:p w:rsidR="008C10AB" w:rsidRDefault="008C10AB" w:rsidP="009470A8">
      <w:pPr>
        <w:pStyle w:val="a3"/>
        <w:ind w:left="284"/>
        <w:jc w:val="both"/>
      </w:pPr>
      <w:r>
        <w:t xml:space="preserve">-источников финансирования дефицита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.</w:t>
      </w:r>
    </w:p>
    <w:p w:rsidR="008A4935" w:rsidRDefault="008A4935" w:rsidP="009470A8">
      <w:pPr>
        <w:ind w:firstLine="284"/>
        <w:jc w:val="both"/>
      </w:pPr>
      <w:r>
        <w:t>Законом (решением) об исполнении бюджета также утверждаются иные показатели, установленные соответственно Бюджетным Кодексом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8A4935" w:rsidRDefault="008A4935" w:rsidP="009470A8">
      <w:pPr>
        <w:ind w:firstLine="284"/>
        <w:jc w:val="both"/>
      </w:pPr>
      <w:r>
        <w:t>Решением Думы городского округа от 13.05.2013г №06-ДГО «Об утверждении положения о бюджетном процессе в муниципальном образовании – «город Тулун»</w:t>
      </w:r>
      <w:r w:rsidR="001B2998">
        <w:t xml:space="preserve"> (далее – Положение о бюджетном процессе)</w:t>
      </w:r>
      <w:r>
        <w:t xml:space="preserve"> у</w:t>
      </w:r>
      <w:r w:rsidR="001B2998">
        <w:t>твержден</w:t>
      </w:r>
      <w:r w:rsidR="00C168A0">
        <w:t xml:space="preserve">о отдельное приложение к решению об исполнении местного бюджета в виде </w:t>
      </w:r>
      <w:r w:rsidR="001B2998">
        <w:t xml:space="preserve"> отчет</w:t>
      </w:r>
      <w:r w:rsidR="00C168A0">
        <w:t>а</w:t>
      </w:r>
      <w:r w:rsidR="001B2998">
        <w:t xml:space="preserve"> об использовании ассигнований резервного фонда</w:t>
      </w:r>
      <w:r w:rsidR="00C168A0">
        <w:t>.</w:t>
      </w:r>
    </w:p>
    <w:p w:rsidR="001B2998" w:rsidRDefault="001B2998" w:rsidP="009470A8">
      <w:pPr>
        <w:ind w:firstLine="284"/>
        <w:jc w:val="both"/>
      </w:pPr>
      <w:r>
        <w:t xml:space="preserve">Однако </w:t>
      </w:r>
      <w:r w:rsidRPr="009470A8">
        <w:rPr>
          <w:b/>
        </w:rPr>
        <w:t xml:space="preserve">в нарушение </w:t>
      </w:r>
      <w:r w:rsidR="00C168A0" w:rsidRPr="009470A8">
        <w:rPr>
          <w:b/>
        </w:rPr>
        <w:t xml:space="preserve">ст.264.6 </w:t>
      </w:r>
      <w:r w:rsidRPr="009470A8">
        <w:rPr>
          <w:b/>
        </w:rPr>
        <w:t>Бюджетного кодекса РФ, Положения о бюджетном процессе</w:t>
      </w:r>
      <w:r>
        <w:t xml:space="preserve"> в проекте решения Думы городского округа «Об утверждении годового отчета об исполнении бюджета</w:t>
      </w:r>
      <w:r w:rsidR="00C168A0">
        <w:t xml:space="preserve"> муниципального образования – «город Тулун» за 2018 год» (далее – Проект решения о</w:t>
      </w:r>
      <w:r w:rsidR="0091513C">
        <w:t>б исполнении</w:t>
      </w:r>
      <w:r w:rsidR="00C168A0">
        <w:t xml:space="preserve"> бюджет</w:t>
      </w:r>
      <w:r w:rsidR="0091513C">
        <w:t>а</w:t>
      </w:r>
      <w:r w:rsidR="00C168A0">
        <w:t>)</w:t>
      </w:r>
      <w:r>
        <w:t xml:space="preserve"> </w:t>
      </w:r>
      <w:r w:rsidRPr="009470A8">
        <w:rPr>
          <w:b/>
        </w:rPr>
        <w:t xml:space="preserve">утверждаются показатели и </w:t>
      </w:r>
      <w:proofErr w:type="gramStart"/>
      <w:r w:rsidRPr="009470A8">
        <w:rPr>
          <w:b/>
        </w:rPr>
        <w:t>отчеты</w:t>
      </w:r>
      <w:proofErr w:type="gramEnd"/>
      <w:r w:rsidRPr="009470A8">
        <w:rPr>
          <w:b/>
        </w:rPr>
        <w:t xml:space="preserve"> не установленные</w:t>
      </w:r>
      <w:r>
        <w:t xml:space="preserve">  </w:t>
      </w:r>
      <w:r w:rsidRPr="009470A8">
        <w:rPr>
          <w:b/>
        </w:rPr>
        <w:t>муниципальным правовым актом</w:t>
      </w:r>
      <w:r w:rsidRPr="001B2998">
        <w:t xml:space="preserve"> представительного органа муниципального образования для закона (решения) об исполнении бюджета</w:t>
      </w:r>
      <w:r>
        <w:t>, так утвержда</w:t>
      </w:r>
      <w:r w:rsidR="008B52B9">
        <w:t>ю</w:t>
      </w:r>
      <w:r>
        <w:t>тся:</w:t>
      </w:r>
    </w:p>
    <w:p w:rsidR="001B2998" w:rsidRDefault="001B2998" w:rsidP="009470A8">
      <w:pPr>
        <w:ind w:firstLine="284"/>
        <w:jc w:val="both"/>
      </w:pPr>
      <w:r>
        <w:t xml:space="preserve">- показатели расходов бюджета муниципального образования – «город Тулун» по муниципальным программам города Тулуна и непрограммным направлениям деятельности за 2018 год (приложение №4 </w:t>
      </w:r>
      <w:r w:rsidR="00C168A0">
        <w:t>к Проекту решения о</w:t>
      </w:r>
      <w:r w:rsidR="00B46DE8">
        <w:t>б исполнении</w:t>
      </w:r>
      <w:r w:rsidR="00C168A0">
        <w:t xml:space="preserve"> бюджет</w:t>
      </w:r>
      <w:r w:rsidR="00B46DE8">
        <w:t>а</w:t>
      </w:r>
      <w:r w:rsidR="00C168A0">
        <w:t>);</w:t>
      </w:r>
    </w:p>
    <w:p w:rsidR="00C168A0" w:rsidRDefault="00C168A0" w:rsidP="009470A8">
      <w:pPr>
        <w:ind w:firstLine="284"/>
        <w:jc w:val="both"/>
      </w:pPr>
      <w:r>
        <w:t>- отчет об использовании бюджетных ассигнований дорожного фонда муниципального образования – «город Тулун» за 2018 год (Приложение №7 к Проекту решения о</w:t>
      </w:r>
      <w:r w:rsidR="00B46DE8">
        <w:t>б исполнении</w:t>
      </w:r>
      <w:r>
        <w:t xml:space="preserve"> бюджет</w:t>
      </w:r>
      <w:r w:rsidR="00B46DE8">
        <w:t>а</w:t>
      </w:r>
      <w:r>
        <w:t>).</w:t>
      </w:r>
    </w:p>
    <w:p w:rsidR="001E5E8F" w:rsidRDefault="001E5E8F" w:rsidP="00C168A0">
      <w:pPr>
        <w:jc w:val="both"/>
      </w:pPr>
    </w:p>
    <w:p w:rsidR="001E5E8F" w:rsidRDefault="001E5E8F" w:rsidP="001E5E8F">
      <w:pPr>
        <w:pStyle w:val="a3"/>
        <w:ind w:left="284" w:firstLine="436"/>
        <w:jc w:val="center"/>
        <w:rPr>
          <w:b/>
        </w:rPr>
      </w:pPr>
      <w:r w:rsidRPr="001E5E8F">
        <w:rPr>
          <w:b/>
        </w:rPr>
        <w:t>3. Результаты внешней проверки годовой бюджетной отчетности об исполнении бюджета главных администраторов средств местного бюджета</w:t>
      </w:r>
    </w:p>
    <w:p w:rsidR="00612618" w:rsidRDefault="00612618" w:rsidP="00612618">
      <w:pPr>
        <w:ind w:firstLine="284"/>
        <w:jc w:val="both"/>
      </w:pPr>
    </w:p>
    <w:p w:rsidR="001E5E8F" w:rsidRDefault="001E5E8F" w:rsidP="00612618">
      <w:pPr>
        <w:ind w:firstLine="284"/>
        <w:jc w:val="both"/>
      </w:pPr>
      <w:r w:rsidRPr="001E5E8F">
        <w:t xml:space="preserve">По результатам внешней проверки годового </w:t>
      </w:r>
      <w:r>
        <w:t xml:space="preserve">отчета об исполнении бюджета за 2018 год, проведенной </w:t>
      </w:r>
      <w:r w:rsidR="00612618">
        <w:t xml:space="preserve">КСП города Тулуна, составлено 4 заключения по результатам внешней </w:t>
      </w:r>
      <w:proofErr w:type="gramStart"/>
      <w:r w:rsidR="00612618">
        <w:t xml:space="preserve">проверки </w:t>
      </w:r>
      <w:r w:rsidR="009470A8">
        <w:t xml:space="preserve">годовой бюджетной отчетности </w:t>
      </w:r>
      <w:r w:rsidR="00612618">
        <w:t>главных администра</w:t>
      </w:r>
      <w:r w:rsidR="009470A8">
        <w:t>торов средств местного бюджета</w:t>
      </w:r>
      <w:proofErr w:type="gramEnd"/>
      <w:r w:rsidR="009470A8">
        <w:t xml:space="preserve"> и 1 </w:t>
      </w:r>
      <w:r w:rsidR="0091513C">
        <w:t xml:space="preserve">заключение </w:t>
      </w:r>
      <w:r w:rsidR="009470A8" w:rsidRPr="009470A8">
        <w:t>по результатам внешней проверки годового  отчета об исполнении бюджета муниципального образов</w:t>
      </w:r>
      <w:r w:rsidR="0091513C">
        <w:t>ания – «город Тулун».</w:t>
      </w:r>
    </w:p>
    <w:p w:rsidR="00612618" w:rsidRDefault="00612618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proofErr w:type="gramStart"/>
      <w:r>
        <w:rPr>
          <w:rFonts w:eastAsia="Calibri"/>
        </w:rPr>
        <w:t>В соответствии с требованиями инструкции</w:t>
      </w:r>
      <w:r w:rsidRPr="00612618">
        <w:rPr>
          <w:rFonts w:eastAsia="Calibri"/>
        </w:rPr>
        <w:t xml:space="preserve">, утвержденной приказом Минфина РФ от 28 декабря 2010 г. № 191н «Об утверждении Инструкции о порядке составления и </w:t>
      </w:r>
      <w:r w:rsidRPr="00612618">
        <w:rPr>
          <w:rFonts w:eastAsia="Calibri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(далее Инструкция -№ 191н)</w:t>
      </w:r>
      <w:r>
        <w:rPr>
          <w:rFonts w:eastAsia="Calibri"/>
        </w:rPr>
        <w:t xml:space="preserve"> годовая бюджетная отчетность составлена на основании показателей форм бюджетной отчетности, представленных получателями, распорядителями, главными распорядителями бюджетных средств, администраторами, главными администраторами доходов бюджета</w:t>
      </w:r>
      <w:proofErr w:type="gramEnd"/>
      <w:r>
        <w:rPr>
          <w:rFonts w:eastAsia="Calibri"/>
        </w:rPr>
        <w:t>, администраторами, главными администраторами источников финансирования дефицита бюджета, финансовыми органами, органами казначейства, органами, осуществляющими кассовое обслуживание, обобщенных путем суммирования одноименных показателей по 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форм бюджетной отчетности.</w:t>
      </w:r>
    </w:p>
    <w:p w:rsidR="00612618" w:rsidRPr="00612618" w:rsidRDefault="00612618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В результате выборочного анализа установлено, что г</w:t>
      </w:r>
      <w:r w:rsidRPr="00612618">
        <w:rPr>
          <w:rFonts w:eastAsia="Calibri"/>
        </w:rPr>
        <w:t xml:space="preserve">одовая бюджетная отчетность главных администраторов бюджетных средств за 2018 год в целом по своему составу, содержанию соответствует требованиям пункта 11.1 Инструкции № 191н. Годовая бюджетная отчетность представлена в полном объеме форм и в срок, установленный финансовым органом для ГАБС. Фактов неправомерного отсутствия предусмотренных Инструкцией № 191н форм годовой бюджетной отчетности не установлено. Показатели годовой бюджетной отчетности несут прозрачность и информативность обо всех составляющих исполнения бюджета. </w:t>
      </w:r>
    </w:p>
    <w:p w:rsidR="00612618" w:rsidRDefault="00612618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612618">
        <w:rPr>
          <w:rFonts w:eastAsia="Calibri"/>
        </w:rPr>
        <w:t xml:space="preserve">Формы  годового отчета об исполнении бюджета муниципального образования – «город Тулун» за 2018 год в соответствии с требованиями Инструкции № 191н подписаны </w:t>
      </w:r>
      <w:r w:rsidR="00FF3E0B">
        <w:rPr>
          <w:rFonts w:eastAsia="Calibri"/>
        </w:rPr>
        <w:t>уполномоченными лицами</w:t>
      </w:r>
      <w:r w:rsidRPr="00612618">
        <w:rPr>
          <w:rFonts w:eastAsia="Calibri"/>
        </w:rPr>
        <w:t>.</w:t>
      </w:r>
    </w:p>
    <w:p w:rsidR="00FF3E0B" w:rsidRDefault="00FF3E0B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proofErr w:type="gramStart"/>
      <w:r>
        <w:rPr>
          <w:rFonts w:eastAsia="Calibri"/>
        </w:rPr>
        <w:t>В представленной годовой бюджетной отчетности за 2018 год контрольные соотношения соблюдены, отдельные показатели отчетности увязаны как между формами отчетности, так и внутри каждой формы.</w:t>
      </w:r>
      <w:proofErr w:type="gramEnd"/>
      <w:r>
        <w:rPr>
          <w:rFonts w:eastAsia="Calibri"/>
        </w:rPr>
        <w:t xml:space="preserve"> В ходе рассмотрения форм отчетности установлено, что утвержденные бюджетные назначения, указанные в отчетности, соответствуют показателям утвержденного бюджета с учетом изменений, внесенных в ходе исполнения бюджета.</w:t>
      </w:r>
    </w:p>
    <w:p w:rsidR="00FF3E0B" w:rsidRDefault="00FF3E0B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</w:p>
    <w:p w:rsidR="00FF3E0B" w:rsidRDefault="00FF3E0B" w:rsidP="00612618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  <w:r w:rsidRPr="00FF3E0B">
        <w:rPr>
          <w:rFonts w:eastAsia="Calibri"/>
          <w:b/>
        </w:rPr>
        <w:t>3.1 Годовой отчет об исполнении бюджета</w:t>
      </w:r>
    </w:p>
    <w:p w:rsidR="00FF3E0B" w:rsidRDefault="00FF3E0B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FF3E0B">
        <w:rPr>
          <w:rFonts w:eastAsia="Calibri"/>
        </w:rPr>
        <w:t>Го</w:t>
      </w:r>
      <w:r>
        <w:rPr>
          <w:rFonts w:eastAsia="Calibri"/>
        </w:rPr>
        <w:t>довой отчет об исполнении бюджета содержит данные об исполнении бюджета муниципального образования – город Тулун» по доходам, расходам и источникам финансирования дефицита бюджета в соответствии с бюджетной классификацией РФ.</w:t>
      </w:r>
      <w:r w:rsidR="00E1287D">
        <w:rPr>
          <w:rFonts w:eastAsia="Calibri"/>
        </w:rPr>
        <w:t xml:space="preserve"> Отчет составлен на основании данных по исполнению бюджета главных распорядителей, получателей бюджетных средств, в рамках осуществляемой ими бюджетной деятельности. Установлено, бюджет по доходам исполнен на </w:t>
      </w:r>
      <w:r w:rsidR="0084148C">
        <w:rPr>
          <w:rFonts w:eastAsia="Calibri"/>
        </w:rPr>
        <w:t xml:space="preserve">100,06% от утвержденного прогнозного плана. Поступило доходов в суммовом выражении 1 034 723,3 </w:t>
      </w:r>
      <w:proofErr w:type="spellStart"/>
      <w:proofErr w:type="gramStart"/>
      <w:r w:rsidR="0084148C">
        <w:rPr>
          <w:rFonts w:eastAsia="Calibri"/>
        </w:rPr>
        <w:t>тыс</w:t>
      </w:r>
      <w:proofErr w:type="spellEnd"/>
      <w:proofErr w:type="gramEnd"/>
      <w:r w:rsidR="0084148C">
        <w:rPr>
          <w:rFonts w:eastAsia="Calibri"/>
        </w:rPr>
        <w:t xml:space="preserve"> руб. Исполнение по расходам составило 1 033 875,5 </w:t>
      </w:r>
      <w:proofErr w:type="spellStart"/>
      <w:r w:rsidR="0084148C">
        <w:rPr>
          <w:rFonts w:eastAsia="Calibri"/>
        </w:rPr>
        <w:t>тыс</w:t>
      </w:r>
      <w:proofErr w:type="spellEnd"/>
      <w:r w:rsidR="0084148C">
        <w:rPr>
          <w:rFonts w:eastAsia="Calibri"/>
        </w:rPr>
        <w:t xml:space="preserve"> </w:t>
      </w:r>
      <w:proofErr w:type="spellStart"/>
      <w:r w:rsidR="0084148C">
        <w:rPr>
          <w:rFonts w:eastAsia="Calibri"/>
        </w:rPr>
        <w:t>руб</w:t>
      </w:r>
      <w:proofErr w:type="spellEnd"/>
      <w:r w:rsidR="0084148C">
        <w:rPr>
          <w:rFonts w:eastAsia="Calibri"/>
        </w:rPr>
        <w:t xml:space="preserve"> или 98,2%  от планового показателя. </w:t>
      </w:r>
      <w:proofErr w:type="gramStart"/>
      <w:r w:rsidR="0084148C">
        <w:rPr>
          <w:rFonts w:eastAsia="Calibri"/>
        </w:rPr>
        <w:t>Утвержденные бюджетные назначения, отраженные в отчете об исполнении бюджета (ф.0503317) по доходам и расходам соответствуют уточненным плановым показателям, утвержденным решением Думы городского округа от 27.12.2018г №29-ДГО «</w:t>
      </w:r>
      <w:r w:rsidR="0084148C" w:rsidRPr="0084148C">
        <w:rPr>
          <w:rFonts w:eastAsia="Calibri"/>
        </w:rPr>
        <w:t xml:space="preserve">О </w:t>
      </w:r>
      <w:r w:rsidR="0084148C">
        <w:rPr>
          <w:rFonts w:eastAsia="Calibri"/>
        </w:rPr>
        <w:t>внесении изменений в решение Думы городского округа от 26.12.2017 года №39-ДГО «О бюджете муниципального образования – «город Тулун» на 2018 год и на плановый период 2019 и 2020 годов».</w:t>
      </w:r>
      <w:proofErr w:type="gramEnd"/>
    </w:p>
    <w:p w:rsidR="0084148C" w:rsidRDefault="0084148C" w:rsidP="00612618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  <w:r w:rsidRPr="008763CD">
        <w:rPr>
          <w:rFonts w:eastAsia="Calibri"/>
          <w:b/>
        </w:rPr>
        <w:t>3.2. Баланс исполнения местного бюджета</w:t>
      </w:r>
      <w:r w:rsidR="008763CD">
        <w:rPr>
          <w:rFonts w:eastAsia="Calibri"/>
          <w:b/>
        </w:rPr>
        <w:t xml:space="preserve"> </w:t>
      </w:r>
    </w:p>
    <w:p w:rsidR="008763CD" w:rsidRDefault="008763CD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Представленный </w:t>
      </w:r>
      <w:r w:rsidR="000A397D">
        <w:rPr>
          <w:rFonts w:eastAsia="Calibri"/>
        </w:rPr>
        <w:t>б</w:t>
      </w:r>
      <w:r w:rsidR="00FC7656" w:rsidRPr="00FC7656">
        <w:rPr>
          <w:rFonts w:eastAsia="Calibri"/>
        </w:rPr>
        <w:t xml:space="preserve">аланс исполнения консолидированного бюджета субъекта Российской Федерации и бюджета территориального государственного внебюджетного фонда (ф.0503320) </w:t>
      </w:r>
      <w:r>
        <w:rPr>
          <w:rFonts w:eastAsia="Calibri"/>
        </w:rPr>
        <w:t>содержит данные  о нефинансовых и финансовых активах, обязательствах муниципального образования, стоимости активов, обязательств</w:t>
      </w:r>
      <w:r w:rsidR="003F483F">
        <w:rPr>
          <w:rFonts w:eastAsia="Calibri"/>
        </w:rPr>
        <w:t xml:space="preserve">, финансовом результате на начало отчетного периода соответствуют показателям на конец отчетного периода предыдущего </w:t>
      </w:r>
      <w:r w:rsidR="00FC7656">
        <w:rPr>
          <w:rFonts w:eastAsia="Calibri"/>
        </w:rPr>
        <w:t>года.</w:t>
      </w:r>
      <w:r w:rsidR="00FC7656" w:rsidRPr="00FC7656">
        <w:t xml:space="preserve"> </w:t>
      </w:r>
      <w:r w:rsidR="00FC7656" w:rsidRPr="00FC7656">
        <w:rPr>
          <w:rFonts w:eastAsia="Calibri"/>
        </w:rPr>
        <w:t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заключительных оборотов по счетам бюджетного учета.</w:t>
      </w:r>
      <w:r w:rsidR="00FC7656">
        <w:rPr>
          <w:rFonts w:eastAsia="Calibri"/>
        </w:rPr>
        <w:t xml:space="preserve"> Б</w:t>
      </w:r>
      <w:r w:rsidR="000A397D">
        <w:rPr>
          <w:rFonts w:eastAsia="Calibri"/>
        </w:rPr>
        <w:t>аланс сформирован по активу и</w:t>
      </w:r>
      <w:r w:rsidR="00FC7656">
        <w:rPr>
          <w:rFonts w:eastAsia="Calibri"/>
        </w:rPr>
        <w:t xml:space="preserve"> пассиву, при проведении </w:t>
      </w:r>
      <w:proofErr w:type="gramStart"/>
      <w:r w:rsidR="00FC7656">
        <w:rPr>
          <w:rFonts w:eastAsia="Calibri"/>
        </w:rPr>
        <w:t>анализа показателей баланса исполнения консолидированного бюджета</w:t>
      </w:r>
      <w:proofErr w:type="gramEnd"/>
      <w:r w:rsidR="00FC7656">
        <w:rPr>
          <w:rFonts w:eastAsia="Calibri"/>
        </w:rPr>
        <w:t xml:space="preserve"> ф.0503320 с показателями баланса главных </w:t>
      </w:r>
      <w:r w:rsidR="00963455">
        <w:rPr>
          <w:rFonts w:eastAsia="Calibri"/>
        </w:rPr>
        <w:lastRenderedPageBreak/>
        <w:t>распорядителей</w:t>
      </w:r>
      <w:r w:rsidR="000A397D">
        <w:rPr>
          <w:rFonts w:eastAsia="Calibri"/>
        </w:rPr>
        <w:t xml:space="preserve"> и администраторов </w:t>
      </w:r>
      <w:r w:rsidR="00FC7656">
        <w:rPr>
          <w:rFonts w:eastAsia="Calibri"/>
        </w:rPr>
        <w:t xml:space="preserve"> бюджетных средств ф.0503130, отклонений не установлено. </w:t>
      </w:r>
    </w:p>
    <w:p w:rsidR="000A397D" w:rsidRDefault="000A397D" w:rsidP="00612618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  <w:r w:rsidRPr="00D6438E">
        <w:rPr>
          <w:rFonts w:eastAsia="Calibri"/>
          <w:b/>
        </w:rPr>
        <w:t xml:space="preserve">3.3. </w:t>
      </w:r>
      <w:r w:rsidR="00D6438E" w:rsidRPr="00D6438E">
        <w:rPr>
          <w:rFonts w:eastAsia="Calibri"/>
          <w:b/>
        </w:rPr>
        <w:t xml:space="preserve"> Отчет о финансовых результатах деятельности</w:t>
      </w:r>
    </w:p>
    <w:p w:rsidR="00612618" w:rsidRDefault="00D6438E" w:rsidP="0068663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proofErr w:type="gramStart"/>
      <w:r w:rsidRPr="00D6438E">
        <w:rPr>
          <w:rFonts w:eastAsia="Calibri"/>
        </w:rPr>
        <w:t>Консолидированный отчет о финансовых результатах деятельности (ф.0503321)</w:t>
      </w:r>
      <w:r>
        <w:rPr>
          <w:rFonts w:eastAsia="Calibri"/>
        </w:rPr>
        <w:t xml:space="preserve">  составлен </w:t>
      </w:r>
      <w:r w:rsidRPr="00D6438E">
        <w:rPr>
          <w:rFonts w:eastAsia="Calibri"/>
        </w:rPr>
        <w:t xml:space="preserve">на основании данных </w:t>
      </w:r>
      <w:r>
        <w:rPr>
          <w:rFonts w:eastAsia="Calibri"/>
        </w:rPr>
        <w:t>сводного</w:t>
      </w:r>
      <w:r w:rsidRPr="00D6438E">
        <w:rPr>
          <w:rFonts w:eastAsia="Calibri"/>
        </w:rPr>
        <w:t xml:space="preserve"> Отчета (ф. 0503121) и сводных Справок (ф. 0503125 по кодам КОСГУ 151, 251, 540, 640, 710, 810, 830, кодам счетов 120551560(660), 120651560(660)</w:t>
      </w:r>
      <w:r>
        <w:rPr>
          <w:rFonts w:eastAsia="Calibri"/>
        </w:rPr>
        <w:t xml:space="preserve"> представленных главными распорядителями бюджетных средств, отчет сформирован путем суммирования одноименных показателей по одинаковым строкам и графам отчетов, включаемых в сводный отчет о финансовых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результатах</w:t>
      </w:r>
      <w:proofErr w:type="gramEnd"/>
      <w:r>
        <w:rPr>
          <w:rFonts w:eastAsia="Calibri"/>
        </w:rPr>
        <w:t xml:space="preserve"> деятельности и исключения взаимосвязанных показателей, что соответствует требованиям п.194 Инструкции 191н. </w:t>
      </w:r>
      <w:r w:rsidR="0068663D" w:rsidRPr="0068663D">
        <w:rPr>
          <w:rFonts w:eastAsia="Calibri"/>
        </w:rPr>
        <w:t>Показатели в отчете  соответствуют показателям, отраженным в справке по заключению счетов бюджетного учета отчетного финансового года (ф. 0503110).</w:t>
      </w:r>
    </w:p>
    <w:p w:rsidR="0068663D" w:rsidRDefault="0068663D" w:rsidP="0068663D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</w:p>
    <w:p w:rsidR="0068663D" w:rsidRDefault="0068663D" w:rsidP="0068663D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  <w:r w:rsidRPr="0068663D">
        <w:rPr>
          <w:rFonts w:eastAsia="Calibri"/>
          <w:b/>
        </w:rPr>
        <w:t>3.4. Отчет о движении денежных средств (ф.0503323)</w:t>
      </w:r>
    </w:p>
    <w:p w:rsidR="0068663D" w:rsidRDefault="00DC1706" w:rsidP="0068663D">
      <w:pPr>
        <w:autoSpaceDE w:val="0"/>
        <w:autoSpaceDN w:val="0"/>
        <w:adjustRightInd w:val="0"/>
        <w:ind w:firstLine="284"/>
        <w:jc w:val="both"/>
      </w:pPr>
      <w:proofErr w:type="gramStart"/>
      <w:r w:rsidRPr="00DC1706">
        <w:t xml:space="preserve">Отчет </w:t>
      </w:r>
      <w:r>
        <w:t>сформирован в соответствии с п.</w:t>
      </w:r>
      <w:r w:rsidRPr="00DC1706">
        <w:t xml:space="preserve"> 198-201 Инструкции № 191н</w:t>
      </w:r>
      <w:r>
        <w:t xml:space="preserve"> по фактическим расходам без учета результата заключительных операций по закрытию счетов при завершении финансового года, на основании данных о движении денежных средств на едином счете бюджета и сводных справок (ф.0503125) по кодам КОСГУ 151, 251, 640, 710, 810 и кодам счетов </w:t>
      </w:r>
      <w:r w:rsidRPr="00DC1706">
        <w:t>120551560(660), 120651560(660)</w:t>
      </w:r>
      <w:r>
        <w:t>.</w:t>
      </w:r>
      <w:proofErr w:type="gramEnd"/>
      <w:r>
        <w:t xml:space="preserve"> </w:t>
      </w:r>
      <w:r w:rsidRPr="00DC1706">
        <w:t>В отчете показатели по поступлению, выбытию, изменению остатков средств отражены в разрезе кодов КОСГУ.</w:t>
      </w:r>
    </w:p>
    <w:p w:rsidR="00DC1706" w:rsidRDefault="00DC1706" w:rsidP="0068663D">
      <w:pPr>
        <w:autoSpaceDE w:val="0"/>
        <w:autoSpaceDN w:val="0"/>
        <w:adjustRightInd w:val="0"/>
        <w:ind w:firstLine="284"/>
        <w:jc w:val="both"/>
        <w:rPr>
          <w:b/>
        </w:rPr>
      </w:pPr>
      <w:r w:rsidRPr="00DC1706">
        <w:rPr>
          <w:b/>
        </w:rPr>
        <w:t>3.5. Пояснительная записка к отчету об исполнении консолидированного бюджета (ф.0503360)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Пояснительная записка составлена с учетом установленных требований п.217 Инструкции № 191н. Текстовая часть пояснительной записки содержит разделы, предусмотренные п.152 Инструкции № 191н, отражает информацию, характеризующую исполнение консолидированного бюджета, не отраженную в приложениях, включаемых в пояснительную записку, подробно  раскрывает аналитику показателей годового отчета об исполнении бюджета.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 Пояснительная записка содержит сводную информацию, основанную на показателях бюджетной отчетности главных администраторов бюджетных средств.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Пояснительная записка   в соответствии с п. 217,218 Инструкции № 191н представлена в составе следующих приложений:</w:t>
      </w:r>
    </w:p>
    <w:p w:rsidR="00DC1706" w:rsidRPr="00DC1706" w:rsidRDefault="00DC1706" w:rsidP="00DC1706">
      <w:pPr>
        <w:autoSpaceDE w:val="0"/>
        <w:autoSpaceDN w:val="0"/>
        <w:adjustRightInd w:val="0"/>
        <w:ind w:firstLine="284"/>
        <w:jc w:val="both"/>
        <w:rPr>
          <w:i/>
        </w:rPr>
      </w:pPr>
      <w:r w:rsidRPr="00DC1706">
        <w:rPr>
          <w:i/>
        </w:rPr>
        <w:t xml:space="preserve">- сведения о вложениях в объекты недвижимого имущества, объектах незавершенного строительства (ф.0503190).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Кассовые расходы на  реализацию инвестиционных проектов  по состоянию на 01.01.2019 года составили 17 795,4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По сравнению с началом года сумма вложений увеличилась на 2908,9  </w:t>
      </w:r>
      <w:proofErr w:type="spellStart"/>
      <w:r>
        <w:t>тыс.руб</w:t>
      </w:r>
      <w:proofErr w:type="spellEnd"/>
      <w:r>
        <w:t xml:space="preserve">., из них: в объекты незавершенного строительства, введенные в эксплуатацию, не прошедшие государственную регистрацию (водовод по </w:t>
      </w:r>
      <w:proofErr w:type="spellStart"/>
      <w:r>
        <w:t>пер</w:t>
      </w:r>
      <w:proofErr w:type="gramStart"/>
      <w:r>
        <w:t>.Т</w:t>
      </w:r>
      <w:proofErr w:type="gramEnd"/>
      <w:r>
        <w:t>ранспортный</w:t>
      </w:r>
      <w:proofErr w:type="spellEnd"/>
      <w:r>
        <w:t xml:space="preserve">) 1760,4 </w:t>
      </w:r>
      <w:proofErr w:type="spellStart"/>
      <w:r>
        <w:t>тыс.руб</w:t>
      </w:r>
      <w:proofErr w:type="spellEnd"/>
      <w:r>
        <w:t xml:space="preserve">.; в объекты, строительство которых не начиналось (расходы на проектно-изыскательные работы и на проектно-сметную документацию) 1148,5 </w:t>
      </w:r>
      <w:proofErr w:type="spellStart"/>
      <w:r>
        <w:t>тыс.руб</w:t>
      </w:r>
      <w:proofErr w:type="spellEnd"/>
      <w:r>
        <w:t xml:space="preserve">., из них: здание детского сада «Лучик» 999,3 </w:t>
      </w:r>
      <w:proofErr w:type="spellStart"/>
      <w:r>
        <w:t>тыс.руб</w:t>
      </w:r>
      <w:proofErr w:type="spellEnd"/>
      <w:r>
        <w:t xml:space="preserve">., строительство уличного освещения по </w:t>
      </w:r>
      <w:proofErr w:type="spellStart"/>
      <w:r>
        <w:t>пер</w:t>
      </w:r>
      <w:proofErr w:type="gramStart"/>
      <w:r>
        <w:t>.М</w:t>
      </w:r>
      <w:proofErr w:type="gramEnd"/>
      <w:r>
        <w:t>астерской</w:t>
      </w:r>
      <w:proofErr w:type="spellEnd"/>
      <w:r>
        <w:t xml:space="preserve"> от ул.19-го Партсъезда до </w:t>
      </w:r>
      <w:proofErr w:type="spellStart"/>
      <w:r>
        <w:t>ул.Пролетарской</w:t>
      </w:r>
      <w:proofErr w:type="spellEnd"/>
      <w:r>
        <w:t xml:space="preserve"> 79,7 </w:t>
      </w:r>
      <w:proofErr w:type="spellStart"/>
      <w:r>
        <w:t>тыс.руб</w:t>
      </w:r>
      <w:proofErr w:type="spellEnd"/>
      <w:r>
        <w:t xml:space="preserve">., строительство уличного освещения  от </w:t>
      </w:r>
      <w:proofErr w:type="spellStart"/>
      <w:r>
        <w:t>ул.Лесной</w:t>
      </w:r>
      <w:proofErr w:type="spellEnd"/>
      <w:r>
        <w:t xml:space="preserve"> до </w:t>
      </w:r>
      <w:proofErr w:type="spellStart"/>
      <w:r>
        <w:t>ул.Сорокина</w:t>
      </w:r>
      <w:proofErr w:type="spellEnd"/>
      <w:r>
        <w:t xml:space="preserve"> с отпайкой на борцовский зал 69,5 </w:t>
      </w:r>
      <w:proofErr w:type="spellStart"/>
      <w:r>
        <w:t>тыс.руб</w:t>
      </w:r>
      <w:proofErr w:type="spellEnd"/>
      <w:r>
        <w:t>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По объектам: водоотведение северного района, наружные сети водовода и канализации к зданию МБОУ СОШ № 7, наружные сети водоснабжения и канализации к зданию МБОУ СОШ № 2, по которым произведены кассовые расходы в объеме  8 689,2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строительство (реконструкция) приостановлено.  В графе 11 отчетности формы 0503190 указан код причины приостановления (прекращения) строительства: «2 - приостановлено финансовое обеспечение».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Вложения в объекты законченного строительства, введенные в эксплуатацию, не прошедшие государственную регистрацию (водовод по пер. Транспортный, Железнодорожный, Элеваторный, ул. 1-я, 2-я </w:t>
      </w:r>
      <w:proofErr w:type="spellStart"/>
      <w:r>
        <w:t>Анганорская</w:t>
      </w:r>
      <w:proofErr w:type="spellEnd"/>
      <w:r>
        <w:t xml:space="preserve">; централизованные сети </w:t>
      </w:r>
      <w:r>
        <w:lastRenderedPageBreak/>
        <w:t xml:space="preserve">водоснабжения домов 1а, 3а по ул.3-я Заречная; линия уличного освещения по пер. Железнодорожный) составили 7 094,4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Капитальные вложения, произведенные в объекты, строительство которых не началось (расходы на проектно-изыскательные работы и на проектно-сметную документацию: водосброс в устье отводного канала на </w:t>
      </w:r>
      <w:proofErr w:type="spellStart"/>
      <w:r>
        <w:t>р</w:t>
      </w:r>
      <w:proofErr w:type="gramStart"/>
      <w:r>
        <w:t>.И</w:t>
      </w:r>
      <w:proofErr w:type="gramEnd"/>
      <w:r>
        <w:t>я</w:t>
      </w:r>
      <w:proofErr w:type="spellEnd"/>
      <w:r>
        <w:t xml:space="preserve"> в </w:t>
      </w:r>
      <w:proofErr w:type="spellStart"/>
      <w:r>
        <w:t>г.Тулуне</w:t>
      </w:r>
      <w:proofErr w:type="spellEnd"/>
      <w:r>
        <w:t xml:space="preserve">, здание МАДОУ детский сад Лучик, наружные сети канализации по 1-я и 2-я Заречная </w:t>
      </w:r>
      <w:proofErr w:type="spellStart"/>
      <w:r>
        <w:t>г.Тулун</w:t>
      </w:r>
      <w:proofErr w:type="spellEnd"/>
      <w:r>
        <w:t xml:space="preserve">, строительство уличного освещения по </w:t>
      </w:r>
      <w:proofErr w:type="spellStart"/>
      <w:r>
        <w:t>пер.Мастерской</w:t>
      </w:r>
      <w:proofErr w:type="spellEnd"/>
      <w:r>
        <w:t xml:space="preserve"> от у. 19-го Партсъезда до </w:t>
      </w:r>
      <w:proofErr w:type="spellStart"/>
      <w:r>
        <w:t>ул.Пролетарской</w:t>
      </w:r>
      <w:proofErr w:type="spellEnd"/>
      <w:r>
        <w:t xml:space="preserve">, строительство уличного освещения участок от </w:t>
      </w:r>
      <w:proofErr w:type="spellStart"/>
      <w:r>
        <w:t>ул</w:t>
      </w:r>
      <w:proofErr w:type="gramStart"/>
      <w:r>
        <w:t>.Л</w:t>
      </w:r>
      <w:proofErr w:type="gramEnd"/>
      <w:r>
        <w:t>есной</w:t>
      </w:r>
      <w:proofErr w:type="spellEnd"/>
      <w:r>
        <w:t xml:space="preserve"> до </w:t>
      </w:r>
      <w:proofErr w:type="spellStart"/>
      <w:r>
        <w:t>ул.Сорокина</w:t>
      </w:r>
      <w:proofErr w:type="spellEnd"/>
      <w:r>
        <w:t xml:space="preserve"> с отпайкой на борцовский зал) составили 2 011,8 </w:t>
      </w:r>
      <w:proofErr w:type="spellStart"/>
      <w:r>
        <w:t>тыс.рублей</w:t>
      </w:r>
      <w:proofErr w:type="spellEnd"/>
      <w:r>
        <w:t>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0503361).</w:t>
      </w:r>
      <w:r>
        <w:t xml:space="preserve">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proofErr w:type="gramStart"/>
      <w:r>
        <w:t>Участниками бюджетного процесса муниципального образования – «город Тулун» являются: - 33 муниципальных учреждения, из них 28 бюджетных и 5 автономных, -  5 участников  бюджетного процесса, из них 4 главных распорядителя бюджетных средств и 1 получатель бюджетных средств,  - на начало года 5 муниципальных унитарных  предприятий, на конец года 6 муниципальных унитарных предприятий.</w:t>
      </w:r>
      <w:proofErr w:type="gramEnd"/>
      <w:r>
        <w:t xml:space="preserve"> Согласно постановлению администрации городского округа от 19.10.2018г №1397 создано МУП МО – «город Тулун» «РЭП Сервис»,  - 1 публично-правовое образование.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об исполнении консолидированного бюджета (ф. 0503364).</w:t>
      </w:r>
      <w:r>
        <w:t xml:space="preserve">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Показатели в приложении к пояснительной записке ф.0503364 соответствуют данным ф.0503317 «Отчет об исполнении консолидированного бюджета субъекта Российской Федерации и бюджета территориального государственного внебюджетного фонда». В расходах бюджета отражены сведения по показателям, исполнение которых составляет 95% и менее 95%,  В приложении содержатся пояснения о причинах отклонений от планового процента исполнения по доходам бюджета, расходам бюджета и источникам финансирования дефицита бюджета;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о движении нефинансовых активов консолидированного бюджета (ф. 0503368).</w:t>
      </w:r>
      <w:r>
        <w:t xml:space="preserve">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Данные в приложении к пояснительной записке ф.0503368 соответствуют показателям раздела Баланса «Нефинансовые активы» (ф. 0503320). В разделе 4 текстовой части пояснительной записки представлена подробная информация о движении нефинансовых активов муниципального образования – «город Тулун»;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по дебиторской и кредиторской задолженности (ф. 0503369).</w:t>
      </w:r>
      <w:r>
        <w:t xml:space="preserve">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Приложение к пояснительной записке ф.0503369 составлено раздельно по дебиторской и по кредиторской задолженности. </w:t>
      </w:r>
    </w:p>
    <w:p w:rsidR="00BE454D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Дебиторская задолженность на конец отчетного периода составила 791 354,5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просроченная 124 786,3 </w:t>
      </w:r>
      <w:proofErr w:type="spellStart"/>
      <w:r>
        <w:t>тыс.руб</w:t>
      </w:r>
      <w:proofErr w:type="spellEnd"/>
      <w:r>
        <w:t xml:space="preserve">. Дебиторская задолженность будущих периодов (долгосрочная) по доходам от сдачи в аренду имущества, по установке и эксплуатации рекламных конструкций, по сдаче в аренду земельных участков, находящихся в городских округах, собственность на которые не разграничена по состоянию на 01.01.2019г составила 660 486,7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 Рост дебиторской задолженности по сравнению с дебиторской задолженностью на начало года (139 365,7 </w:t>
      </w:r>
      <w:proofErr w:type="spellStart"/>
      <w:r>
        <w:t>тыс.руб</w:t>
      </w:r>
      <w:proofErr w:type="spellEnd"/>
      <w:r>
        <w:t xml:space="preserve">.) составил 651 988,8 </w:t>
      </w:r>
      <w:proofErr w:type="spellStart"/>
      <w:r>
        <w:t>тыс.руб</w:t>
      </w:r>
      <w:proofErr w:type="spellEnd"/>
      <w:r>
        <w:t xml:space="preserve">., рост просроченной дебиторской задолженности по сравнению с просроченной дебиторской задолженностью на начало года (114 975,2 </w:t>
      </w:r>
      <w:proofErr w:type="spellStart"/>
      <w:r>
        <w:t>тыс.руб</w:t>
      </w:r>
      <w:proofErr w:type="spellEnd"/>
      <w:r>
        <w:t xml:space="preserve">.) составил 9 811,2 </w:t>
      </w:r>
      <w:proofErr w:type="spellStart"/>
      <w:r>
        <w:t>тыс.руб</w:t>
      </w:r>
      <w:proofErr w:type="spellEnd"/>
      <w:r>
        <w:t xml:space="preserve">. Большую часть дебиторской задолженности составляет дебиторская задолженность по доходам  99,3%  (786 146,1 </w:t>
      </w:r>
      <w:proofErr w:type="spellStart"/>
      <w:r>
        <w:t>тыс.руб</w:t>
      </w:r>
      <w:proofErr w:type="spellEnd"/>
      <w:r>
        <w:t xml:space="preserve">.). </w:t>
      </w:r>
    </w:p>
    <w:p w:rsidR="00BE454D" w:rsidRDefault="00BE454D" w:rsidP="00BE454D">
      <w:pPr>
        <w:autoSpaceDE w:val="0"/>
        <w:autoSpaceDN w:val="0"/>
        <w:adjustRightInd w:val="0"/>
        <w:ind w:firstLine="284"/>
        <w:jc w:val="both"/>
      </w:pPr>
      <w:r>
        <w:t xml:space="preserve">Причинами дебиторской задолженности по доходам, администрируемым </w:t>
      </w:r>
      <w:proofErr w:type="spellStart"/>
      <w:r>
        <w:t>УМИиЗО</w:t>
      </w:r>
      <w:proofErr w:type="spellEnd"/>
      <w:r>
        <w:t xml:space="preserve"> являются неоплата в установленные сроки арендной платы арендаторами, пени по арендной плате, неоплата в установленные сроки за наем жилья по договорам социального найма.  Наибольшая просроченная задолженность по арендной плате за земли имеется у следующих арендаторов: ООО «Сибирские </w:t>
      </w:r>
      <w:proofErr w:type="spellStart"/>
      <w:r>
        <w:t>пеллеты</w:t>
      </w:r>
      <w:proofErr w:type="spellEnd"/>
      <w:r>
        <w:t xml:space="preserve">» 15116,0 тыс., ОАО «ВСКБТ» 13578,4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ООО «Пиво-Табак» 1254,1 </w:t>
      </w:r>
      <w:proofErr w:type="spellStart"/>
      <w:r>
        <w:t>тыс.рублей</w:t>
      </w:r>
      <w:proofErr w:type="spellEnd"/>
      <w:r>
        <w:t xml:space="preserve">. Наибольшая просроченная задолженность </w:t>
      </w:r>
      <w:r>
        <w:lastRenderedPageBreak/>
        <w:t>по аренде имущества у арендаторов: ОАО «</w:t>
      </w:r>
      <w:proofErr w:type="spellStart"/>
      <w:r>
        <w:t>Облжилкомхоз</w:t>
      </w:r>
      <w:proofErr w:type="spellEnd"/>
      <w:r>
        <w:t xml:space="preserve">» 20597,3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ООО «Западный филиал» 11308,9 </w:t>
      </w:r>
      <w:proofErr w:type="spellStart"/>
      <w:r>
        <w:t>тыс.руб</w:t>
      </w:r>
      <w:proofErr w:type="spellEnd"/>
      <w:r>
        <w:t xml:space="preserve">., ООО «Пиво-табак» 460,5 </w:t>
      </w:r>
      <w:proofErr w:type="spellStart"/>
      <w:r>
        <w:t>тыс.рублей</w:t>
      </w:r>
      <w:proofErr w:type="spellEnd"/>
      <w:r>
        <w:t>.</w:t>
      </w:r>
    </w:p>
    <w:p w:rsidR="00BE454D" w:rsidRDefault="00BE454D" w:rsidP="00BE454D">
      <w:pPr>
        <w:autoSpaceDE w:val="0"/>
        <w:autoSpaceDN w:val="0"/>
        <w:adjustRightInd w:val="0"/>
        <w:ind w:firstLine="284"/>
        <w:jc w:val="both"/>
      </w:pPr>
      <w:r>
        <w:tab/>
        <w:t xml:space="preserve">По взысканию дебиторской задолженности от сдачи в аренду земли и имущества администрацией городского округа проводятся следующие мероприятия: направлены акты сверок и уведомления о задолженности, оформляются документы для направления в суд. По взысканию дебиторской задолженности по  найму муниципального имущества администрацией городского округа проводятся следующие мероприятия: гражданам  направляются уведомления о задолженности с </w:t>
      </w:r>
      <w:proofErr w:type="gramStart"/>
      <w:r>
        <w:t>требованием</w:t>
      </w:r>
      <w:proofErr w:type="gramEnd"/>
      <w:r>
        <w:t xml:space="preserve"> о ее погашении, проводятся межведомственные комиссии, направляются исковые заявления в суд.</w:t>
      </w:r>
    </w:p>
    <w:p w:rsidR="00BE454D" w:rsidRDefault="00BE454D" w:rsidP="00BE454D">
      <w:pPr>
        <w:autoSpaceDE w:val="0"/>
        <w:autoSpaceDN w:val="0"/>
        <w:adjustRightInd w:val="0"/>
        <w:ind w:firstLine="284"/>
        <w:jc w:val="both"/>
      </w:pPr>
      <w:r>
        <w:t xml:space="preserve">Также на балансе МУ «Администрация города Тулуна» отражена дебиторская  задолженность  по исполнительным листам (выданы в 2015 году)  по возмещению ущерба бюджету муниципального образования - «город Тулун», причиненному в результате незаконного получения субсидий по подпрограмме «Молодым семьям – доступное жильё» и составляет 398,4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 задолженность </w:t>
      </w:r>
      <w:proofErr w:type="spellStart"/>
      <w:r>
        <w:t>Булдаковой</w:t>
      </w:r>
      <w:proofErr w:type="spellEnd"/>
      <w:r>
        <w:t xml:space="preserve"> Ю.Н. 323,9 </w:t>
      </w:r>
      <w:proofErr w:type="spellStart"/>
      <w:r>
        <w:t>тыс.руб</w:t>
      </w:r>
      <w:proofErr w:type="spellEnd"/>
      <w:r>
        <w:t xml:space="preserve">., Московских Ю.С. 74,4 </w:t>
      </w:r>
      <w:proofErr w:type="spellStart"/>
      <w:r>
        <w:t>тыс.руб</w:t>
      </w:r>
      <w:proofErr w:type="spellEnd"/>
      <w:r>
        <w:t xml:space="preserve">. (примечание: на момент </w:t>
      </w:r>
      <w:proofErr w:type="gramStart"/>
      <w:r>
        <w:t xml:space="preserve">проведения экспертного мероприятия задолженность Московских Ю.С. практически погашена; за период с 2015 года по настоящее время с </w:t>
      </w:r>
      <w:proofErr w:type="spellStart"/>
      <w:r>
        <w:t>Булдаковой</w:t>
      </w:r>
      <w:proofErr w:type="spellEnd"/>
      <w:r>
        <w:t xml:space="preserve"> Ю.Н. взыскано по исполнительному листу всего 0,21 рублей). </w:t>
      </w:r>
      <w:proofErr w:type="gramEnd"/>
    </w:p>
    <w:p w:rsidR="00BE454D" w:rsidRDefault="00BE454D" w:rsidP="00BE454D">
      <w:pPr>
        <w:autoSpaceDE w:val="0"/>
        <w:autoSpaceDN w:val="0"/>
        <w:adjustRightInd w:val="0"/>
        <w:ind w:firstLine="284"/>
        <w:jc w:val="both"/>
      </w:pPr>
      <w:r>
        <w:tab/>
        <w:t xml:space="preserve">Сумма  дебиторской задолженности по денежным взысканиям (штрафам) за нарушение бюджетного законодательства составляет 20,0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 задолженность ИП </w:t>
      </w:r>
      <w:proofErr w:type="spellStart"/>
      <w:r>
        <w:t>Горнаковой</w:t>
      </w:r>
      <w:proofErr w:type="spellEnd"/>
      <w:r>
        <w:t xml:space="preserve"> О.М.  10,0 </w:t>
      </w:r>
      <w:proofErr w:type="spellStart"/>
      <w:r>
        <w:t>тыс.руб</w:t>
      </w:r>
      <w:proofErr w:type="spellEnd"/>
      <w:r>
        <w:t xml:space="preserve">., ИП </w:t>
      </w:r>
      <w:proofErr w:type="spellStart"/>
      <w:r>
        <w:t>Куява</w:t>
      </w:r>
      <w:proofErr w:type="spellEnd"/>
      <w:r>
        <w:t xml:space="preserve"> П.Г. 10,0 </w:t>
      </w:r>
      <w:proofErr w:type="spellStart"/>
      <w:r>
        <w:t>тыс.рублей</w:t>
      </w:r>
      <w:proofErr w:type="spellEnd"/>
      <w:r>
        <w:t xml:space="preserve">. Дебиторская задолженность по исполнительным листам по возмещению ущерба бюджету МО «город Тулун», причиненному в результате незаконного получения субсидий по подпрограмме «Развитие малого и среднего  предпринимательства» индивидуальными предпринимателями  </w:t>
      </w:r>
      <w:proofErr w:type="spellStart"/>
      <w:r>
        <w:t>Горнаковой</w:t>
      </w:r>
      <w:proofErr w:type="spellEnd"/>
      <w:r>
        <w:t xml:space="preserve"> О.М.,  </w:t>
      </w:r>
      <w:proofErr w:type="spellStart"/>
      <w:r>
        <w:t>Карамышевой</w:t>
      </w:r>
      <w:proofErr w:type="spellEnd"/>
      <w:r>
        <w:t xml:space="preserve"> Т.А., Кузнецовой Ю.В., </w:t>
      </w:r>
      <w:proofErr w:type="spellStart"/>
      <w:r>
        <w:t>Куява</w:t>
      </w:r>
      <w:proofErr w:type="spellEnd"/>
      <w:r>
        <w:t xml:space="preserve"> П.Г. на общую сумму 1012,2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BE454D" w:rsidRDefault="00BE454D" w:rsidP="00DC1706">
      <w:pPr>
        <w:autoSpaceDE w:val="0"/>
        <w:autoSpaceDN w:val="0"/>
        <w:adjustRightInd w:val="0"/>
        <w:ind w:firstLine="284"/>
        <w:jc w:val="both"/>
      </w:pP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 Дебиторская задолженность по расчетам с поставщиками и подрядчиками составила</w:t>
      </w:r>
      <w:r w:rsidR="00BE454D">
        <w:t xml:space="preserve">       </w:t>
      </w:r>
      <w:r>
        <w:t xml:space="preserve"> 2 706,2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образовалась в связи с предоплатой за услуги связи, за электроэнергию, за программное обновление и  подписку на периодические печатные издания на 2019г, за ГСМ; в связи с увеличением дебиторской задолженности муниципальных учреждений по неиспользованным целевым субсидиям на укрепление материально-технической базы, на капитальные вложения в объекты капитального строительства муниципальной собственности. Дебиторская задолженность по расчетам по компенсации затрат (задолженность сотрудника по отпускным в связи с увольнением) составила 20,4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по расчетам по суммам принудительного изъятия (неустойка, пени за нарушения (несоблюдения) условий муниципальных контрактов и сроков исполнения муниципального контракта) составила 194,1 </w:t>
      </w:r>
      <w:proofErr w:type="spellStart"/>
      <w:r>
        <w:t>тыс.руб</w:t>
      </w:r>
      <w:proofErr w:type="spellEnd"/>
      <w:r>
        <w:t xml:space="preserve">., по расчетам по ущербу (недостача основных средств) составила 10,3 </w:t>
      </w:r>
      <w:proofErr w:type="spellStart"/>
      <w:r>
        <w:t>тыс.руб</w:t>
      </w:r>
      <w:proofErr w:type="spellEnd"/>
      <w:r>
        <w:t xml:space="preserve">. Дебиторская задолженность в размере 639,3 </w:t>
      </w:r>
      <w:proofErr w:type="spellStart"/>
      <w:r>
        <w:t>тыс.руб</w:t>
      </w:r>
      <w:proofErr w:type="spellEnd"/>
      <w:r>
        <w:t xml:space="preserve">. образовалась в связи с отсутствием возмещения расходов по оплате пособий по временной нетрудоспособности и в связи с материнством из Фонда социального страхования, в размере 74,2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авансовые платежи по транспортному налогу.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Кредиторская задолженность на конец отчетного периода составила 16 479,9тыс</w:t>
      </w:r>
      <w:proofErr w:type="gramStart"/>
      <w:r>
        <w:t>.р</w:t>
      </w:r>
      <w:proofErr w:type="gramEnd"/>
      <w:r>
        <w:t xml:space="preserve">уб.,  просроченная кредиторская задолженность отсутствует. Большую часть кредиторской задолженности – 14 157,7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составляет задолженность по налоговым платежам, - 1 716,5 </w:t>
      </w:r>
      <w:proofErr w:type="spellStart"/>
      <w:r>
        <w:t>тыс.руб</w:t>
      </w:r>
      <w:proofErr w:type="spellEnd"/>
      <w:r>
        <w:t xml:space="preserve">. задолженность по межбюджетным трансфертам, полученным из областного бюджета и др. Наблюдается уменьшение на 1 067,9 </w:t>
      </w:r>
      <w:proofErr w:type="spellStart"/>
      <w:r>
        <w:t>тыс.руб</w:t>
      </w:r>
      <w:proofErr w:type="spellEnd"/>
      <w:r>
        <w:t>. или на 6,1% кредиторской задолженности на конец отчетного периода по сравнению с кредиторской задолженностью на начало года (17 547,8тыс.руб.). В разделе 4 текстовой части пояснительной записки представлена подробная информация и анализ дебиторской задолженности и кредиторской задолженности муниципального образования – «город Тулун» и о причинах ее образования. Сведения, указанные  в приложении соответствуют показателям баланса (ф.0503320).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-сведения о финансовых вложениях (ф. 0503371).</w:t>
      </w:r>
      <w:r>
        <w:t xml:space="preserve"> 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lastRenderedPageBreak/>
        <w:t xml:space="preserve">Приложение к пояснительной записке ф.0503371 отражает вложения в недвижимое и особо ценное движимое имущество бюджетных и автономных учреждений города Тулуна. По состоянию на 01.01.2018г вложения в недвижимое имущество бюджетных и автономных учреждений города Тулуна составляли 964 671,9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, по состоянию на 01.01.2019г вложения увеличились и составили 1 033 416,7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, в том числе: по счету 120433000 «Участие в государственных (муниципальных) учреждениях» в размере 1 032 216,7 </w:t>
      </w:r>
      <w:proofErr w:type="spellStart"/>
      <w:r>
        <w:t>тыс.руб</w:t>
      </w:r>
      <w:proofErr w:type="spellEnd"/>
      <w:r>
        <w:t xml:space="preserve">. (передано особо ценное имущество), по счету 121533000 «Вложения в государственные (муниципальные) учреждения в размере 1 200,0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(капитальные вложения на разработку ПСД для строительства объекта спортивного зала МБОУ «СОШ №4»).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Уставный фонд муниципальных предприятий отражен по счету 120432000 «Участие в государственных (муниципальных) предприятиях» в размере 691,4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о государственном (муниципальном) долге, предоставленных бюджетных кредитах  консолидированного бюджета (ф. 0503372).</w:t>
      </w:r>
      <w:r>
        <w:t xml:space="preserve">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Приложение к пояснительной записке ф.0503372 содержит обобщенные данные за отчетный период по муниципальному долгу, о предоставленных бюджетных кредитах. Бюджетные кредиты в 2018 году муниципальному образованию – «город Тулун» не предоставлялись. Показатели раздела 2 соответствуют соответствующим показателям Баланса ф.0503320. Сумма муниципального долга на конец отчетного периода составляет 24 566,9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них: - 15 201,0 </w:t>
      </w:r>
      <w:proofErr w:type="spellStart"/>
      <w:r>
        <w:t>тыс.руб</w:t>
      </w:r>
      <w:proofErr w:type="spellEnd"/>
      <w:r>
        <w:t xml:space="preserve">. по бюджетному кредиту от 28.02.2014г №4, -  9 365,9 </w:t>
      </w:r>
      <w:proofErr w:type="spellStart"/>
      <w:r>
        <w:t>тыс.руб</w:t>
      </w:r>
      <w:proofErr w:type="spellEnd"/>
      <w:r>
        <w:t xml:space="preserve">. по бюджетному кредиту от 08.05.2014г №12.  По сравнению с предыдущим 2017 годом кредиторская задолженность увеличилась на 4 560,4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в связи с реструктуризацией задолженности по муниципальным кредитам. Кредитором по бюджетному кредиту является Министерство финансов Иркутской области. Муниципальные гарантии  в 2018 году не предоставлялись.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 w:rsidRPr="00DC1706">
        <w:rPr>
          <w:i/>
        </w:rPr>
        <w:t>- 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(ф.0503374)</w:t>
      </w:r>
      <w:r>
        <w:t xml:space="preserve">. 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 xml:space="preserve">Приложение к пояснительной записке ф.0503374 содержит данные о доходах, подлежащих перечислению в бюджет за отчетный период. Объем доходов, подлежащих перечислению в бюджет за отчетный период муниципальными унитарными предприятиями составляет 659,0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 МУП «</w:t>
      </w:r>
      <w:proofErr w:type="spellStart"/>
      <w:r>
        <w:t>Тулунская</w:t>
      </w:r>
      <w:proofErr w:type="spellEnd"/>
      <w:r>
        <w:t xml:space="preserve"> городская типография» - 48,2 </w:t>
      </w:r>
      <w:proofErr w:type="spellStart"/>
      <w:r>
        <w:t>тыс.руб</w:t>
      </w:r>
      <w:proofErr w:type="spellEnd"/>
      <w:r>
        <w:t xml:space="preserve">.,  МУП КШП </w:t>
      </w:r>
      <w:proofErr w:type="spellStart"/>
      <w:r>
        <w:t>г</w:t>
      </w:r>
      <w:proofErr w:type="gramStart"/>
      <w:r>
        <w:t>.Т</w:t>
      </w:r>
      <w:proofErr w:type="gramEnd"/>
      <w:r>
        <w:t>улун</w:t>
      </w:r>
      <w:proofErr w:type="spellEnd"/>
      <w:r>
        <w:t xml:space="preserve"> – 601,1 </w:t>
      </w:r>
      <w:proofErr w:type="spellStart"/>
      <w:r>
        <w:t>тыс.руб</w:t>
      </w:r>
      <w:proofErr w:type="spellEnd"/>
      <w:r>
        <w:t xml:space="preserve">., МУП МО – «город Тулун» - «Центральная аптека </w:t>
      </w:r>
      <w:proofErr w:type="spellStart"/>
      <w:r>
        <w:t>г.Тулуна</w:t>
      </w:r>
      <w:proofErr w:type="spellEnd"/>
      <w:r>
        <w:t xml:space="preserve">» - 9,7 </w:t>
      </w:r>
      <w:proofErr w:type="spellStart"/>
      <w:r>
        <w:t>тыс</w:t>
      </w:r>
      <w:proofErr w:type="spellEnd"/>
      <w:r>
        <w:t xml:space="preserve"> руб.  Начисленная сумма доходов от части прибыли муниципальных унитарных предприятий, подлежащая перечислению в бюджет муниципального образования – «город Тулун»  поступила в бюджет в полном объеме в 2018 году. Объем части прибыли муниципальных унитарных предприятий, подлежащий перечислению в бюджет за 2018 год увеличился на 458,9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по сравнению с аналогичным показателем за 2017 год (200,1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>).</w:t>
      </w:r>
    </w:p>
    <w:p w:rsidR="00DC1706" w:rsidRDefault="00DC1706" w:rsidP="00DC1706">
      <w:pPr>
        <w:autoSpaceDE w:val="0"/>
        <w:autoSpaceDN w:val="0"/>
        <w:adjustRightInd w:val="0"/>
        <w:ind w:firstLine="284"/>
        <w:jc w:val="both"/>
      </w:pPr>
      <w:r>
        <w:t>Сведения, указанные  в приложениях к пояснительной записке (ф.0503360) соответствуют соответствующим показателям Баланса (ф.0503320).</w:t>
      </w:r>
    </w:p>
    <w:p w:rsidR="00C014A5" w:rsidRPr="00DC1706" w:rsidRDefault="00C014A5" w:rsidP="00DC1706">
      <w:pPr>
        <w:autoSpaceDE w:val="0"/>
        <w:autoSpaceDN w:val="0"/>
        <w:adjustRightInd w:val="0"/>
        <w:ind w:firstLine="284"/>
        <w:jc w:val="both"/>
      </w:pP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proofErr w:type="gramStart"/>
      <w:r>
        <w:t>Результатами внешней проверки годовой бюджетной отчетности установлены факты, способные негативно повлиять на достоверность годовой бюджетной отчетности: 1) показатели просроченной дебиторской задолженности по доходам в приложении к пояснительной записке ф.00503169 «Сведения по дебиторской и кредиторской задолженности» МУ «Администрация города Тулуна» не подтверждены актами сверок;</w:t>
      </w:r>
      <w:proofErr w:type="gramEnd"/>
      <w:r>
        <w:t xml:space="preserve"> 2) в таблице 7 «Сведения о результатах внешних контрольных мероприятий» к пояснительной записке ф.0503160  МУ «Администрация города Тулуна» не отражены сведения о результатах мероприятий внешнего финансового контроля, проведенного Контрольно-счетной пал</w:t>
      </w:r>
      <w:r w:rsidR="008A4935">
        <w:t xml:space="preserve">атой Иркутской области в 2018г (нарушение устранено в ходе проведения экспертно-аналитического мероприятия); </w:t>
      </w:r>
      <w:proofErr w:type="gramStart"/>
      <w:r>
        <w:t xml:space="preserve">3) взаимосвязанные показатели по консолидируемым расчетам, отраженные МКУ «Комитет социальной политики администрации городского округа» в справке ф.0503125 по счету 140110151 «Доходы от </w:t>
      </w:r>
      <w:r>
        <w:lastRenderedPageBreak/>
        <w:t>поступлений от других бюджетов бюджетной системы российской Федерации» не соответствуют показателям, отраженным в извещениях ф.0504805  представленных Министерством образования Иркутской области</w:t>
      </w:r>
      <w:r w:rsidR="008A4935">
        <w:t xml:space="preserve"> (нарушение устранено в ходе проведения экспертно-аналитического мероприятия)</w:t>
      </w:r>
      <w:r>
        <w:t>;</w:t>
      </w:r>
      <w:proofErr w:type="gramEnd"/>
      <w:r>
        <w:t xml:space="preserve"> 4) представленная МУ «Дума города Тулуна» в составе форм годовой бюджетной отчетности форма 0503125 «Справка по консолидируемым расчетам», имеющая числовой показатель,  отражена в составе не представленных форм годовой бюджетной отчетности в разделе 5 «Прочие вопросы деятельности субъекта бюджетной отчетности» текстовой части пояснительной записки (ф.0503160) ввиду отсутствия числовых значений показателей; </w:t>
      </w:r>
      <w:proofErr w:type="gramStart"/>
      <w:r>
        <w:t>5) в текстовой части пояснительной записки (ф.0503160) МУ «Дума города Тулуна» не отражена  информация о мерах по повышению квалификации и переподготовке специалистов,  не отражена информация о техническом состоянии, эффективности использования, обеспеченности субъекта бюджетной отчетности и его структурных 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</w:t>
      </w:r>
      <w:proofErr w:type="gramEnd"/>
      <w:r>
        <w:t xml:space="preserve"> средств; характеристика комплектности, а также сведения о своевременности поступления материальных запасов,  отражена не достоверная информация о принятых бюджетных обязательствах сверх утвержденных бюджет</w:t>
      </w:r>
      <w:r w:rsidR="00A5404D">
        <w:t xml:space="preserve">ных назначений в размере 6,6 </w:t>
      </w:r>
      <w:proofErr w:type="spellStart"/>
      <w:proofErr w:type="gramStart"/>
      <w:r w:rsidR="00A5404D">
        <w:t>тыс</w:t>
      </w:r>
      <w:proofErr w:type="spellEnd"/>
      <w:proofErr w:type="gramEnd"/>
      <w:r w:rsidR="00A5404D">
        <w:t xml:space="preserve"> </w:t>
      </w:r>
      <w:proofErr w:type="spellStart"/>
      <w:r w:rsidR="00A5404D">
        <w:t>руб</w:t>
      </w:r>
      <w:proofErr w:type="spellEnd"/>
      <w:r>
        <w:t>,   отражена  не достоверная информация о причинах выбытия основных средств. Текстовая часть пояснительной записки (ф.0503160) не содержит подробное раскрытие показателей, отраженных в формах  годовой бюджетной отчетности; 6) в разделе 2 формы 0503175 «Сведения о принятых и неисполненных обязательствах получателя бюджетных средств» МУ «Дума города Тулуна» не указаны причины образования неисполненных денежных обязательств и коды причины неисполнения, а так же  причины неисполнения бюджетных и денежных обязательств подробно не раскрыты в текстовой части пояснительной записки (ф.0503160).</w:t>
      </w: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r>
        <w:t>Установлены факты нарушения бюджетного законодательства Российской Федерации: 1) допущено принятие расходных обязатель</w:t>
      </w:r>
      <w:proofErr w:type="gramStart"/>
      <w:r>
        <w:t>ств св</w:t>
      </w:r>
      <w:proofErr w:type="gramEnd"/>
      <w:r>
        <w:t>ерх  утвержденного плана финансово-хозяйственной деятельности муниципальным автономным учреждением города Тулуна, подведомственного МКУ «Комитет социальной политики города Тулуна».</w:t>
      </w: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r>
        <w:t>Установлены факты нарушения федерального законодательства Российской Федерации: МУ «Дума города Тулуна» перед составлением годовой бюджетной отчетности не проведена инвентаризация имущества и финансовых обязательств, в результате чего достоверность показателей, отраженных в годовой бюджетной отчетности по имуществу и финансовым обязательствам не подтверждена.</w:t>
      </w: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r>
        <w:t>В нарушение п.4 Инструкции 191н годовая бюджетная отчетность МУ «Дума города Тулуна» предоставлена в не пронумерованном виде.</w:t>
      </w:r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proofErr w:type="gramStart"/>
      <w:r>
        <w:t xml:space="preserve">В ходе проведения экспертно-аналитического мероприятия МУ «Контрольно-счетная палата города Тулуна» в МУ «Дума города Тулуна» установлена недостача бланков строгой отчетности: в результате чего в  форме бюджетной отчетности 0503130 «Справка 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счетах» по </w:t>
      </w:r>
      <w:proofErr w:type="spellStart"/>
      <w:r>
        <w:t>забалансовому</w:t>
      </w:r>
      <w:proofErr w:type="spellEnd"/>
      <w:r>
        <w:t xml:space="preserve"> счету 03 «Бланки строгой отчетности» отражены недостовер</w:t>
      </w:r>
      <w:r w:rsidR="00A5404D">
        <w:t>ные показатели на сумму 9,1 тыс.</w:t>
      </w:r>
      <w:r>
        <w:t xml:space="preserve"> руб.</w:t>
      </w:r>
      <w:proofErr w:type="gramEnd"/>
    </w:p>
    <w:p w:rsidR="00C014A5" w:rsidRDefault="00C014A5" w:rsidP="00C014A5">
      <w:pPr>
        <w:autoSpaceDE w:val="0"/>
        <w:autoSpaceDN w:val="0"/>
        <w:adjustRightInd w:val="0"/>
        <w:ind w:firstLine="284"/>
        <w:jc w:val="both"/>
      </w:pPr>
      <w:r>
        <w:t xml:space="preserve">Денежные средства, использованные не по целевому назначению, установленные в рамках проведения экспертно-аналитического мероприятия «Внешняя проверка годовой бюджетной отчетности главных администраторов бюджетных средств </w:t>
      </w:r>
      <w:r w:rsidR="00A5404D">
        <w:t xml:space="preserve">за  2017 год» в размере 3,3 </w:t>
      </w:r>
      <w:proofErr w:type="spellStart"/>
      <w:proofErr w:type="gramStart"/>
      <w:r w:rsidR="00A5404D"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>, возвращены  МУ «Дума города Тулуна» в бюджет не должным образом.</w:t>
      </w:r>
    </w:p>
    <w:p w:rsidR="00BE454D" w:rsidRPr="0091513C" w:rsidRDefault="00BE454D" w:rsidP="0091513C">
      <w:pPr>
        <w:jc w:val="both"/>
        <w:rPr>
          <w:b/>
        </w:rPr>
      </w:pPr>
    </w:p>
    <w:p w:rsidR="008C10AB" w:rsidRPr="008C10AB" w:rsidRDefault="00811B6F" w:rsidP="008C10AB">
      <w:pPr>
        <w:pStyle w:val="a3"/>
        <w:ind w:left="284" w:firstLine="436"/>
        <w:jc w:val="both"/>
        <w:rPr>
          <w:b/>
        </w:rPr>
      </w:pPr>
      <w:r>
        <w:rPr>
          <w:b/>
        </w:rPr>
        <w:t>4. Оценка исполнения бюджета муниципального образования за 2018 год</w:t>
      </w:r>
    </w:p>
    <w:p w:rsidR="00BC2D0C" w:rsidRPr="00A57033" w:rsidRDefault="00BC2D0C" w:rsidP="004734B1"/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201</w:t>
      </w:r>
      <w:r w:rsidR="004D5ECD">
        <w:t>8</w:t>
      </w:r>
      <w:r w:rsidRPr="00A57033">
        <w:t xml:space="preserve"> год </w:t>
      </w:r>
      <w:r w:rsidR="0078713A" w:rsidRPr="00A57033">
        <w:t xml:space="preserve">и на плановый период 2018 и 2019 годов </w:t>
      </w:r>
      <w:r w:rsidRPr="00A57033">
        <w:t xml:space="preserve">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C04607" w:rsidRPr="00C04607">
        <w:t>6</w:t>
      </w:r>
      <w:r w:rsidRPr="00C04607">
        <w:t>.12.201</w:t>
      </w:r>
      <w:r w:rsidR="00C04607" w:rsidRPr="00C04607">
        <w:t>7</w:t>
      </w:r>
      <w:r w:rsidR="00B01CBE">
        <w:t xml:space="preserve">г.         </w:t>
      </w:r>
      <w:r w:rsidR="00C04607" w:rsidRPr="00C04607">
        <w:t xml:space="preserve"> № 39-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201</w:t>
      </w:r>
      <w:r w:rsidR="004D5ECD">
        <w:t>8</w:t>
      </w:r>
      <w:r w:rsidR="00C04607">
        <w:t xml:space="preserve"> год и на </w:t>
      </w:r>
      <w:r w:rsidR="00C04607">
        <w:lastRenderedPageBreak/>
        <w:t>плановый период 2019</w:t>
      </w:r>
      <w:r w:rsidR="0078713A" w:rsidRPr="00A57033">
        <w:t xml:space="preserve"> и 20</w:t>
      </w:r>
      <w:r w:rsidR="00C04607">
        <w:t>20</w:t>
      </w:r>
      <w:r w:rsidR="0078713A" w:rsidRPr="00A57033">
        <w:t xml:space="preserve"> годов</w:t>
      </w:r>
      <w:r w:rsidRPr="00A57033">
        <w:t>»</w:t>
      </w:r>
      <w:r w:rsidR="008356F9">
        <w:t xml:space="preserve"> (далее – Решение о бюджете от 26.12.2017г №39-ДГО)</w:t>
      </w:r>
      <w:r w:rsidRPr="00A57033">
        <w:t>.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об исполнении бюджета муниципального </w:t>
      </w:r>
      <w:r w:rsidR="00B01CBE">
        <w:t xml:space="preserve">образования – «город Тулун» за </w:t>
      </w:r>
      <w:r w:rsidRPr="00A57033">
        <w:t>201</w:t>
      </w:r>
      <w:r w:rsidR="004D5ECD">
        <w:t xml:space="preserve">8 год (далее – Отчет) </w:t>
      </w:r>
      <w:r w:rsidRPr="00A57033">
        <w:t xml:space="preserve"> </w:t>
      </w:r>
      <w:r w:rsidR="00C75177">
        <w:t>представлен Администрацией</w:t>
      </w:r>
      <w:r w:rsidR="00C75177" w:rsidRPr="00A57033">
        <w:t xml:space="preserve"> городского округа </w:t>
      </w:r>
      <w:r w:rsidR="00EB330E">
        <w:t xml:space="preserve"> </w:t>
      </w:r>
      <w:r w:rsidR="00CB758F">
        <w:t>в составе приложений по показателям</w:t>
      </w:r>
      <w:r w:rsidR="00C75177">
        <w:t xml:space="preserve">: 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1) </w:t>
      </w:r>
      <w:r w:rsidR="00CB758F">
        <w:t xml:space="preserve">доходов бюджета </w:t>
      </w:r>
      <w:r w:rsidR="00CB758F" w:rsidRPr="00CB758F">
        <w:t>муниципального образования - «город Тулун»</w:t>
      </w:r>
      <w:r w:rsidR="00CB758F">
        <w:t xml:space="preserve">  по кодам классификации доходов бюджетов за </w:t>
      </w:r>
      <w:r w:rsidR="004D5ECD">
        <w:t xml:space="preserve"> 2018</w:t>
      </w:r>
      <w:r w:rsidR="00CB758F">
        <w:t xml:space="preserve"> год</w:t>
      </w:r>
      <w:r w:rsidRPr="00A57033">
        <w:t xml:space="preserve">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2) </w:t>
      </w:r>
      <w:r w:rsidR="00CB758F">
        <w:t>расходов бюджета</w:t>
      </w:r>
      <w:r w:rsidRPr="00A57033">
        <w:t xml:space="preserve"> </w:t>
      </w:r>
      <w:r w:rsidR="00CB758F" w:rsidRPr="00CB758F">
        <w:t xml:space="preserve">муниципального образования - «город Тулун» </w:t>
      </w:r>
      <w:r w:rsidR="00CB758F">
        <w:t xml:space="preserve"> по ведомственной структуре расходов за 2018 год </w:t>
      </w:r>
      <w:r w:rsidRPr="00A57033">
        <w:t>(Приложение № 2);</w:t>
      </w:r>
    </w:p>
    <w:p w:rsidR="004A7078" w:rsidRDefault="004A7078" w:rsidP="004A7078">
      <w:pPr>
        <w:pStyle w:val="a3"/>
        <w:ind w:left="0" w:firstLine="709"/>
        <w:jc w:val="both"/>
      </w:pPr>
      <w:r w:rsidRPr="00A57033">
        <w:t xml:space="preserve">3) </w:t>
      </w:r>
      <w:r w:rsidR="00CB758F">
        <w:t xml:space="preserve">расходов </w:t>
      </w:r>
      <w:r w:rsidR="00C75177">
        <w:t xml:space="preserve"> </w:t>
      </w:r>
      <w:r w:rsidR="00CB758F">
        <w:t xml:space="preserve">бюджета </w:t>
      </w:r>
      <w:r w:rsidR="00CB758F" w:rsidRPr="00CB758F">
        <w:t>муниципального образования - «город Тулун»</w:t>
      </w:r>
      <w:r w:rsidR="00CB758F">
        <w:t xml:space="preserve"> по разделам и подразделам классификации расходов бюджетов за </w:t>
      </w:r>
      <w:r w:rsidRPr="00A57033">
        <w:t>201</w:t>
      </w:r>
      <w:r w:rsidR="004D5ECD">
        <w:t>8</w:t>
      </w:r>
      <w:r w:rsidRPr="00A57033">
        <w:t xml:space="preserve"> год (Приложение № 3);</w:t>
      </w:r>
    </w:p>
    <w:p w:rsidR="00064D26" w:rsidRDefault="00064D26" w:rsidP="004A7078">
      <w:pPr>
        <w:pStyle w:val="a3"/>
        <w:ind w:left="0" w:firstLine="709"/>
        <w:jc w:val="both"/>
      </w:pPr>
      <w:r>
        <w:t xml:space="preserve">4) расходов бюджета </w:t>
      </w:r>
      <w:r w:rsidRPr="00064D26">
        <w:t>муниципального образования - «город Тулун»</w:t>
      </w:r>
      <w:r>
        <w:t xml:space="preserve"> по муниципальным программам города Тулуна и непрограммным направлениям деятельности за 2018 год (Приложение №4);</w:t>
      </w:r>
    </w:p>
    <w:p w:rsidR="00064D26" w:rsidRDefault="00064D26" w:rsidP="004A7078">
      <w:pPr>
        <w:pStyle w:val="a3"/>
        <w:ind w:left="0" w:firstLine="709"/>
        <w:jc w:val="both"/>
      </w:pPr>
      <w:r>
        <w:t xml:space="preserve">5) источников финансирования дефицита бюджета </w:t>
      </w:r>
      <w:r w:rsidRPr="00064D26">
        <w:t>муниципального образования - «город Тулун»</w:t>
      </w:r>
      <w:r>
        <w:t xml:space="preserve"> по кодам классификации источников дефицитов бюджетов за 2018 год (Приложение №5).</w:t>
      </w:r>
    </w:p>
    <w:p w:rsidR="00064D26" w:rsidRDefault="00BE454D" w:rsidP="004A7078">
      <w:pPr>
        <w:pStyle w:val="a3"/>
        <w:ind w:left="0" w:firstLine="709"/>
        <w:jc w:val="both"/>
      </w:pPr>
      <w:r>
        <w:t xml:space="preserve">Кроме того в составе Отчета </w:t>
      </w:r>
      <w:proofErr w:type="gramStart"/>
      <w:r>
        <w:t>представлены</w:t>
      </w:r>
      <w:proofErr w:type="gramEnd"/>
      <w:r w:rsidR="00064D26">
        <w:t>:</w:t>
      </w:r>
    </w:p>
    <w:p w:rsidR="00064D26" w:rsidRDefault="00064D26" w:rsidP="004A7078">
      <w:pPr>
        <w:pStyle w:val="a3"/>
        <w:ind w:left="0" w:firstLine="709"/>
        <w:jc w:val="both"/>
      </w:pPr>
      <w:r>
        <w:t>- отчет об использовании ассигнований резервного фонда администрации городского округа муниципального  образования – «город Тулун» за 2018 год (Приложение №6);</w:t>
      </w:r>
    </w:p>
    <w:p w:rsidR="005567B7" w:rsidRDefault="00064D26" w:rsidP="00CF2A1F">
      <w:pPr>
        <w:pStyle w:val="a3"/>
        <w:ind w:left="0" w:firstLine="709"/>
        <w:jc w:val="both"/>
      </w:pPr>
      <w:r>
        <w:t>- отчет об использовании бюджетных ассигнований дорожного фонда муниципального образования – «город Тулун» за 2018 год (Приложение №7).</w:t>
      </w:r>
    </w:p>
    <w:p w:rsidR="00CF2A1F" w:rsidRPr="00A57033" w:rsidRDefault="00CF2A1F" w:rsidP="00CF2A1F">
      <w:pPr>
        <w:pStyle w:val="a3"/>
        <w:ind w:left="0" w:firstLine="709"/>
        <w:jc w:val="both"/>
      </w:pPr>
    </w:p>
    <w:p w:rsidR="00BC2D0C" w:rsidRDefault="0061547B" w:rsidP="006E2DC4">
      <w:pPr>
        <w:pStyle w:val="a3"/>
        <w:ind w:left="0" w:firstLine="720"/>
        <w:jc w:val="both"/>
      </w:pPr>
      <w:r>
        <w:t>Анализ исполнения</w:t>
      </w:r>
      <w:r w:rsidR="004F39DA">
        <w:t xml:space="preserve"> общих параметров местного бюджета</w:t>
      </w:r>
      <w:r w:rsidR="00DF6B2A">
        <w:t xml:space="preserve"> </w:t>
      </w:r>
      <w:r w:rsidR="00CF2A1F">
        <w:t xml:space="preserve">за </w:t>
      </w:r>
      <w:r w:rsidR="00BC2D0C" w:rsidRPr="00A57033">
        <w:t>201</w:t>
      </w:r>
      <w:r w:rsidR="00466C7E">
        <w:t>8</w:t>
      </w:r>
      <w:r w:rsidR="00DF6B2A">
        <w:t xml:space="preserve"> год</w:t>
      </w:r>
      <w:r w:rsidR="00FA2DC2">
        <w:t xml:space="preserve"> приведен</w:t>
      </w:r>
      <w:r w:rsidR="00414EAF">
        <w:t xml:space="preserve"> в таблице № 1.</w:t>
      </w:r>
    </w:p>
    <w:p w:rsidR="004B1738" w:rsidRPr="00A57033" w:rsidRDefault="004B1738" w:rsidP="006E2DC4">
      <w:pPr>
        <w:pStyle w:val="a3"/>
        <w:ind w:left="0" w:firstLine="720"/>
        <w:jc w:val="both"/>
      </w:pPr>
    </w:p>
    <w:p w:rsidR="00BC2D0C" w:rsidRPr="004B1738" w:rsidRDefault="00BC2D0C" w:rsidP="004B1738">
      <w:pPr>
        <w:pStyle w:val="a3"/>
        <w:ind w:left="0" w:firstLine="720"/>
        <w:jc w:val="right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 1 (тыс. руб</w:t>
      </w:r>
      <w:r w:rsidR="001E53C6" w:rsidRPr="004B1738">
        <w:rPr>
          <w:b/>
          <w:sz w:val="20"/>
          <w:szCs w:val="20"/>
        </w:rPr>
        <w:t>.</w:t>
      </w:r>
      <w:r w:rsidR="004B1738" w:rsidRPr="004B1738">
        <w:rPr>
          <w:b/>
          <w:sz w:val="20"/>
          <w:szCs w:val="20"/>
        </w:rPr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618"/>
      </w:tblGrid>
      <w:tr w:rsidR="00BC2D0C" w:rsidRPr="00A57033" w:rsidTr="004B1738">
        <w:tc>
          <w:tcPr>
            <w:tcW w:w="3119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8262D2" w:rsidRPr="00F93013" w:rsidRDefault="008262D2" w:rsidP="008262D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Утверждено ре</w:t>
            </w:r>
            <w:r w:rsidR="00DD4D17">
              <w:rPr>
                <w:sz w:val="18"/>
                <w:szCs w:val="18"/>
                <w:lang w:eastAsia="en-US"/>
              </w:rPr>
              <w:t>шением Думы городского округа №3</w:t>
            </w:r>
            <w:r>
              <w:rPr>
                <w:sz w:val="18"/>
                <w:szCs w:val="18"/>
                <w:lang w:eastAsia="en-US"/>
              </w:rPr>
              <w:t>9-ДГО от 2</w:t>
            </w:r>
            <w:r w:rsidR="00DD4D17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.12.201</w:t>
            </w:r>
            <w:r w:rsidR="00DD4D17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г</w:t>
            </w:r>
            <w:r w:rsidR="00DD4D17">
              <w:rPr>
                <w:sz w:val="18"/>
                <w:szCs w:val="18"/>
                <w:lang w:eastAsia="en-US"/>
              </w:rPr>
              <w:t xml:space="preserve"> (с учетом изменений внесенных решением Думы городского округа №29-ДГО от 27.12.2018г)</w:t>
            </w:r>
          </w:p>
          <w:p w:rsidR="00BC2D0C" w:rsidRPr="00F93013" w:rsidRDefault="00BC2D0C" w:rsidP="00797D6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Фактическое исполнение</w:t>
            </w:r>
            <w:r w:rsidR="008262D2">
              <w:rPr>
                <w:sz w:val="18"/>
                <w:szCs w:val="18"/>
              </w:rPr>
              <w:t xml:space="preserve"> за 2018 год</w:t>
            </w:r>
          </w:p>
        </w:tc>
        <w:tc>
          <w:tcPr>
            <w:tcW w:w="1618" w:type="dxa"/>
          </w:tcPr>
          <w:p w:rsidR="00BC2D0C" w:rsidRPr="00F93013" w:rsidRDefault="003371F3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% исполнения</w:t>
            </w:r>
          </w:p>
        </w:tc>
      </w:tr>
      <w:tr w:rsidR="00BC2D0C" w:rsidRPr="00A57033" w:rsidTr="004B1738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1 034 088,5</w:t>
            </w:r>
          </w:p>
        </w:tc>
        <w:tc>
          <w:tcPr>
            <w:tcW w:w="2126" w:type="dxa"/>
          </w:tcPr>
          <w:p w:rsidR="00BC2D0C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1 034 723,2</w:t>
            </w:r>
          </w:p>
        </w:tc>
        <w:tc>
          <w:tcPr>
            <w:tcW w:w="1618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100,06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8262D2" w:rsidP="00797D6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1 052 512,2</w:t>
            </w:r>
          </w:p>
        </w:tc>
        <w:tc>
          <w:tcPr>
            <w:tcW w:w="2126" w:type="dxa"/>
          </w:tcPr>
          <w:p w:rsidR="00BC2D0C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1 033 875,5</w:t>
            </w:r>
          </w:p>
        </w:tc>
        <w:tc>
          <w:tcPr>
            <w:tcW w:w="1618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-18 423,7</w:t>
            </w:r>
          </w:p>
        </w:tc>
        <w:tc>
          <w:tcPr>
            <w:tcW w:w="2126" w:type="dxa"/>
          </w:tcPr>
          <w:p w:rsidR="002E373E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847,7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7D6FCA" w:rsidRDefault="007D6FC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7D6FCA" w:rsidRDefault="007D6FC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C2D0C" w:rsidRPr="00102B50" w:rsidRDefault="00135CC9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2126" w:type="dxa"/>
          </w:tcPr>
          <w:p w:rsidR="00BC2D0C" w:rsidRPr="00A57033" w:rsidRDefault="00A102A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6" w:type="dxa"/>
          </w:tcPr>
          <w:p w:rsidR="00BC2D0C" w:rsidRPr="00A57033" w:rsidRDefault="008262D2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618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102B50" w:rsidRDefault="00921741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5563AA">
              <w:rPr>
                <w:sz w:val="22"/>
                <w:szCs w:val="22"/>
              </w:rPr>
              <w:t>0,0</w:t>
            </w:r>
            <w:r w:rsidR="00D645D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C2D0C" w:rsidRPr="00A57033" w:rsidRDefault="00C7614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0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rPr>
          <w:trHeight w:val="369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936 250,1</w:t>
            </w:r>
          </w:p>
        </w:tc>
        <w:tc>
          <w:tcPr>
            <w:tcW w:w="2126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919 645,8</w:t>
            </w:r>
          </w:p>
        </w:tc>
        <w:tc>
          <w:tcPr>
            <w:tcW w:w="1618" w:type="dxa"/>
          </w:tcPr>
          <w:p w:rsidR="00BC2D0C" w:rsidRPr="00A57033" w:rsidRDefault="0077119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A57033" w:rsidRDefault="00984B4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2126" w:type="dxa"/>
          </w:tcPr>
          <w:p w:rsidR="00BC2D0C" w:rsidRPr="00A57033" w:rsidRDefault="00C13AD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618" w:type="dxa"/>
          </w:tcPr>
          <w:p w:rsidR="00BC2D0C" w:rsidRPr="00A57033" w:rsidRDefault="00C039C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57033">
              <w:rPr>
                <w:sz w:val="22"/>
                <w:szCs w:val="22"/>
              </w:rPr>
              <w:t>-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7309B5" w:rsidRPr="000804C1" w:rsidRDefault="008B70F7" w:rsidP="0087599B">
      <w:pPr>
        <w:pStyle w:val="a3"/>
        <w:ind w:left="0" w:firstLine="720"/>
        <w:jc w:val="both"/>
      </w:pPr>
      <w:r w:rsidRPr="000804C1">
        <w:t>И</w:t>
      </w:r>
      <w:r w:rsidR="00BC2D0C" w:rsidRPr="000804C1">
        <w:t>з таблицы</w:t>
      </w:r>
      <w:r w:rsidR="007C0477" w:rsidRPr="000804C1">
        <w:t xml:space="preserve"> № 1</w:t>
      </w:r>
      <w:r w:rsidRPr="000804C1">
        <w:t xml:space="preserve"> видно, что</w:t>
      </w:r>
      <w:r w:rsidR="00BC2D0C" w:rsidRPr="000804C1">
        <w:t xml:space="preserve"> </w:t>
      </w:r>
      <w:r w:rsidR="00135CC9">
        <w:t>за 2018 год</w:t>
      </w:r>
      <w:r w:rsidR="00BC2D0C" w:rsidRPr="000804C1">
        <w:t xml:space="preserve"> </w:t>
      </w:r>
      <w:r w:rsidR="007A6654" w:rsidRPr="000804C1">
        <w:t xml:space="preserve">местный </w:t>
      </w:r>
      <w:r w:rsidR="00BC2D0C" w:rsidRPr="000804C1">
        <w:t>бюджет исполнен</w:t>
      </w:r>
      <w:r w:rsidR="00135CC9">
        <w:t xml:space="preserve"> </w:t>
      </w:r>
      <w:r w:rsidR="00BC2D0C" w:rsidRPr="000804C1">
        <w:t xml:space="preserve">с профицитом в размере </w:t>
      </w:r>
      <w:r w:rsidR="00135CC9">
        <w:t xml:space="preserve">847,7 </w:t>
      </w:r>
      <w:r w:rsidR="00BC2D0C" w:rsidRPr="000804C1">
        <w:t>тыс. руб.</w:t>
      </w:r>
      <w:r w:rsidR="007309B5" w:rsidRPr="000804C1">
        <w:t xml:space="preserve"> (</w:t>
      </w:r>
      <w:r w:rsidR="00372EBC" w:rsidRPr="000804C1">
        <w:t>при этом,</w:t>
      </w:r>
      <w:r w:rsidR="00135CC9">
        <w:t xml:space="preserve"> </w:t>
      </w:r>
      <w:r w:rsidR="003A449C" w:rsidRPr="000804C1">
        <w:t xml:space="preserve">бюджет </w:t>
      </w:r>
      <w:r w:rsidR="00BC2D0C" w:rsidRPr="000804C1">
        <w:t>на 201</w:t>
      </w:r>
      <w:r w:rsidR="00557164" w:rsidRPr="000804C1">
        <w:t>8</w:t>
      </w:r>
      <w:r w:rsidR="00372EBC" w:rsidRPr="000804C1">
        <w:t xml:space="preserve"> год</w:t>
      </w:r>
      <w:r w:rsidR="00135CC9">
        <w:t xml:space="preserve"> </w:t>
      </w:r>
      <w:r w:rsidR="00D400A8" w:rsidRPr="000804C1">
        <w:t xml:space="preserve">с изменениями </w:t>
      </w:r>
      <w:r w:rsidR="00BC2D0C" w:rsidRPr="000804C1">
        <w:t xml:space="preserve">утвержден </w:t>
      </w:r>
      <w:r w:rsidR="003A449C" w:rsidRPr="000804C1">
        <w:t xml:space="preserve">с </w:t>
      </w:r>
      <w:r w:rsidR="008245CE" w:rsidRPr="000804C1">
        <w:t>дефицит</w:t>
      </w:r>
      <w:r w:rsidR="003A449C" w:rsidRPr="000804C1">
        <w:t>ом</w:t>
      </w:r>
      <w:r w:rsidR="00135CC9">
        <w:t xml:space="preserve"> </w:t>
      </w:r>
      <w:r w:rsidR="00BC2D0C" w:rsidRPr="000804C1">
        <w:t xml:space="preserve">в размере </w:t>
      </w:r>
      <w:r w:rsidR="00135CC9">
        <w:t xml:space="preserve">18 423,7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BC2D0C" w:rsidRPr="000804C1">
        <w:t>.</w:t>
      </w:r>
      <w:r w:rsidR="00372EBC" w:rsidRPr="000804C1">
        <w:t>)</w:t>
      </w:r>
      <w:r w:rsidR="00135CC9">
        <w:t xml:space="preserve">. </w:t>
      </w:r>
      <w:r w:rsidR="007A6654" w:rsidRPr="000804C1">
        <w:t xml:space="preserve">Доходы исполнены на сумму </w:t>
      </w:r>
      <w:r w:rsidR="00135CC9">
        <w:t>1 034 723,2</w:t>
      </w:r>
      <w:r w:rsidR="00D400A8" w:rsidRPr="000804C1">
        <w:t xml:space="preserve"> тыс. руб. </w:t>
      </w:r>
      <w:r w:rsidR="00D400A8" w:rsidRPr="000804C1">
        <w:lastRenderedPageBreak/>
        <w:t xml:space="preserve">или на </w:t>
      </w:r>
      <w:r w:rsidR="00135CC9">
        <w:t xml:space="preserve">100,06 </w:t>
      </w:r>
      <w:r w:rsidR="007A6654" w:rsidRPr="000804C1">
        <w:t xml:space="preserve">% от утвержденного объема </w:t>
      </w:r>
      <w:r w:rsidR="00135CC9">
        <w:t xml:space="preserve">бюджетных </w:t>
      </w:r>
      <w:r w:rsidR="007A6654" w:rsidRPr="000804C1">
        <w:t>назначений.</w:t>
      </w:r>
      <w:r w:rsidR="00135CC9">
        <w:t xml:space="preserve"> </w:t>
      </w:r>
      <w:r w:rsidR="00D400A8" w:rsidRPr="000804C1">
        <w:t xml:space="preserve">Расходы исполнены на сумму </w:t>
      </w:r>
      <w:r w:rsidR="00135CC9">
        <w:t>1 033 875,5</w:t>
      </w:r>
      <w:r w:rsidR="00D400A8" w:rsidRPr="000804C1">
        <w:t xml:space="preserve"> тыс. руб. или на </w:t>
      </w:r>
      <w:r w:rsidR="00135CC9">
        <w:t>98,2</w:t>
      </w:r>
      <w:r w:rsidR="00D400A8" w:rsidRPr="000804C1">
        <w:t xml:space="preserve"> % от утвержденного объема </w:t>
      </w:r>
      <w:r w:rsidR="00135CC9">
        <w:t xml:space="preserve">бюджетных </w:t>
      </w:r>
      <w:r w:rsidR="00D400A8" w:rsidRPr="000804C1">
        <w:t xml:space="preserve">назначений. Исполнение  программных расходов составило </w:t>
      </w:r>
      <w:r w:rsidR="00135CC9">
        <w:t>919 645,8</w:t>
      </w:r>
      <w:r w:rsidR="00D400A8" w:rsidRPr="000804C1">
        <w:t xml:space="preserve"> тыс. руб. или </w:t>
      </w:r>
      <w:r w:rsidR="00135CC9">
        <w:t>98,2</w:t>
      </w:r>
      <w:r w:rsidR="00CF5AF3" w:rsidRPr="000804C1">
        <w:t xml:space="preserve">% от утвержденных </w:t>
      </w:r>
      <w:r w:rsidR="00135CC9">
        <w:t xml:space="preserve">бюджетных </w:t>
      </w:r>
      <w:r w:rsidR="00CF5AF3" w:rsidRPr="000804C1">
        <w:t xml:space="preserve">назначений, что составляет </w:t>
      </w:r>
      <w:r w:rsidR="00C13AD4" w:rsidRPr="000804C1">
        <w:t>89,0</w:t>
      </w:r>
      <w:r w:rsidR="00CF5AF3" w:rsidRPr="000804C1">
        <w:t>% от общей суммы расходов</w:t>
      </w:r>
      <w:r w:rsidR="00372EBC" w:rsidRPr="000804C1">
        <w:t xml:space="preserve"> местного бюджета</w:t>
      </w:r>
      <w:r w:rsidR="00272280" w:rsidRPr="000804C1">
        <w:t>.</w:t>
      </w:r>
    </w:p>
    <w:p w:rsidR="00557164" w:rsidRDefault="00FF0973" w:rsidP="0087599B">
      <w:pPr>
        <w:pStyle w:val="a3"/>
        <w:ind w:left="0" w:firstLine="720"/>
        <w:jc w:val="both"/>
      </w:pPr>
      <w:r>
        <w:t>Нарушений предельного объема дефицита местного бюджета, определенного п.3 ст.92.1 Бюджетного Кодекса РФ, как на начало</w:t>
      </w:r>
      <w:r w:rsidR="00B03DB0">
        <w:t xml:space="preserve"> и конец финансового </w:t>
      </w:r>
      <w:r>
        <w:t xml:space="preserve"> года, так и в течение проверяемого периода не установлено.</w:t>
      </w:r>
    </w:p>
    <w:p w:rsidR="00B03DB0" w:rsidRDefault="00B03DB0" w:rsidP="0087599B">
      <w:pPr>
        <w:pStyle w:val="a3"/>
        <w:ind w:left="0" w:firstLine="720"/>
        <w:jc w:val="both"/>
      </w:pPr>
      <w:r>
        <w:t>Резервный фонд муниципального образования – «город Тулун»  не превышает предельного значения установленного п.3 ст.81 Бюджетного Кодекса РФ.</w:t>
      </w:r>
    </w:p>
    <w:p w:rsidR="00B03DB0" w:rsidRPr="00725D99" w:rsidRDefault="00B03DB0" w:rsidP="0087599B">
      <w:pPr>
        <w:pStyle w:val="a3"/>
        <w:ind w:left="0" w:firstLine="720"/>
        <w:jc w:val="both"/>
      </w:pPr>
    </w:p>
    <w:p w:rsidR="00BC2D0C" w:rsidRPr="00A57033" w:rsidRDefault="00135CC9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>
        <w:rPr>
          <w:b/>
        </w:rPr>
        <w:t xml:space="preserve">4.1. </w:t>
      </w:r>
      <w:r w:rsidR="00BC2D0C" w:rsidRPr="00A57033">
        <w:rPr>
          <w:b/>
        </w:rPr>
        <w:t>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0804C1" w:rsidRDefault="008356F9" w:rsidP="008812D6">
      <w:pPr>
        <w:ind w:right="-142" w:firstLine="540"/>
        <w:jc w:val="both"/>
      </w:pPr>
      <w:r>
        <w:t>Первоначально решением</w:t>
      </w:r>
      <w:r w:rsidR="00065639" w:rsidRPr="000804C1">
        <w:t xml:space="preserve"> о</w:t>
      </w:r>
      <w:r w:rsidR="005563AA" w:rsidRPr="000804C1">
        <w:t xml:space="preserve"> бюджете </w:t>
      </w:r>
      <w:r w:rsidR="0011402B">
        <w:t xml:space="preserve">от 26.12.2017 № 39-ДГО </w:t>
      </w:r>
      <w:r w:rsidR="00BC2D0C" w:rsidRPr="000804C1">
        <w:t xml:space="preserve"> общий объем доходов местного бюджета на 201</w:t>
      </w:r>
      <w:r w:rsidR="00DD4A67" w:rsidRPr="000804C1">
        <w:t>8</w:t>
      </w:r>
      <w:r w:rsidR="00BC2D0C" w:rsidRPr="000804C1">
        <w:t xml:space="preserve"> год утвержден в сумме </w:t>
      </w:r>
      <w:r w:rsidR="0011402B">
        <w:t xml:space="preserve">809 827,8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F52D51" w:rsidRPr="000804C1">
        <w:t>.</w:t>
      </w:r>
      <w:r w:rsidR="00BC2D0C" w:rsidRPr="000804C1">
        <w:t>,  из них</w:t>
      </w:r>
      <w:r w:rsidR="00E47A8D">
        <w:t xml:space="preserve"> </w:t>
      </w:r>
      <w:r w:rsidR="008812D6" w:rsidRPr="000804C1">
        <w:t xml:space="preserve">объем </w:t>
      </w:r>
      <w:r>
        <w:t>безвозмездных поступлений</w:t>
      </w:r>
      <w:r w:rsidR="008812D6" w:rsidRPr="000804C1">
        <w:t>, получаемых из других бюджетов бюджетной системы Российской Федерации</w:t>
      </w:r>
      <w:r w:rsidR="00DD4A67" w:rsidRPr="000804C1">
        <w:t>,</w:t>
      </w:r>
      <w:r w:rsidR="008812D6" w:rsidRPr="000804C1">
        <w:t xml:space="preserve"> в </w:t>
      </w:r>
      <w:r w:rsidR="00CF5AF3" w:rsidRPr="000804C1">
        <w:t>объеме</w:t>
      </w:r>
      <w:r w:rsidR="0011402B">
        <w:t xml:space="preserve"> </w:t>
      </w:r>
      <w:r w:rsidR="005C61E7">
        <w:t>539 941,3</w:t>
      </w:r>
      <w:r w:rsidR="0011402B">
        <w:t xml:space="preserve"> </w:t>
      </w:r>
      <w:proofErr w:type="spellStart"/>
      <w:r w:rsidR="00BC2D0C" w:rsidRPr="000804C1">
        <w:t>тыс.руб</w:t>
      </w:r>
      <w:proofErr w:type="spellEnd"/>
      <w:r w:rsidR="00BC2D0C" w:rsidRPr="000804C1">
        <w:t>.</w:t>
      </w:r>
      <w:r w:rsidR="00950F74" w:rsidRPr="000804C1">
        <w:t xml:space="preserve"> В связи с увеличением</w:t>
      </w:r>
      <w:r w:rsidR="005563AA" w:rsidRPr="000804C1">
        <w:t xml:space="preserve"> объема </w:t>
      </w:r>
      <w:r>
        <w:t xml:space="preserve">безвозмездных поступлений </w:t>
      </w:r>
      <w:r w:rsidR="00326931" w:rsidRPr="000804C1">
        <w:t>и с</w:t>
      </w:r>
      <w:r w:rsidR="00D24ABF" w:rsidRPr="000804C1">
        <w:t>о</w:t>
      </w:r>
      <w:r w:rsidR="00326931" w:rsidRPr="000804C1">
        <w:t>бственных доходов</w:t>
      </w:r>
      <w:r w:rsidR="005567B7">
        <w:t>,</w:t>
      </w:r>
      <w:r w:rsidR="00326931" w:rsidRPr="000804C1">
        <w:t xml:space="preserve">  плановый объем</w:t>
      </w:r>
      <w:r w:rsidR="00D24ABF" w:rsidRPr="000804C1">
        <w:t xml:space="preserve"> доходов на</w:t>
      </w:r>
      <w:r w:rsidR="00950F74" w:rsidRPr="000804C1">
        <w:t xml:space="preserve"> 2018 год </w:t>
      </w:r>
      <w:r w:rsidR="005C61E7">
        <w:t xml:space="preserve">увеличился на 224 260,7 </w:t>
      </w:r>
      <w:proofErr w:type="spellStart"/>
      <w:proofErr w:type="gramStart"/>
      <w:r w:rsidR="005C61E7">
        <w:t>тыс</w:t>
      </w:r>
      <w:proofErr w:type="spellEnd"/>
      <w:proofErr w:type="gramEnd"/>
      <w:r w:rsidR="005C61E7">
        <w:t xml:space="preserve"> </w:t>
      </w:r>
      <w:proofErr w:type="spellStart"/>
      <w:r w:rsidR="005C61E7">
        <w:t>руб</w:t>
      </w:r>
      <w:proofErr w:type="spellEnd"/>
      <w:r w:rsidR="005C61E7">
        <w:t xml:space="preserve"> или на </w:t>
      </w:r>
      <w:r>
        <w:t>28% и</w:t>
      </w:r>
      <w:r w:rsidR="00D24ABF" w:rsidRPr="000804C1">
        <w:t xml:space="preserve"> </w:t>
      </w:r>
      <w:r w:rsidR="00950F74" w:rsidRPr="000804C1">
        <w:t xml:space="preserve">составил </w:t>
      </w:r>
      <w:r>
        <w:t xml:space="preserve">1 034 088,5 </w:t>
      </w:r>
      <w:proofErr w:type="spellStart"/>
      <w:r w:rsidR="00306FC4" w:rsidRPr="000804C1">
        <w:t>тыс.руб</w:t>
      </w:r>
      <w:proofErr w:type="spellEnd"/>
      <w:r w:rsidR="00306FC4" w:rsidRPr="000804C1">
        <w:t xml:space="preserve">., в том числе плановый объем </w:t>
      </w:r>
      <w:r w:rsidRPr="008356F9">
        <w:t xml:space="preserve">безвозмездных поступлений, получаемых из других бюджетов бюджетной системы Российской Федерации </w:t>
      </w:r>
      <w:r w:rsidR="00D24ABF" w:rsidRPr="000804C1">
        <w:t xml:space="preserve">составил </w:t>
      </w:r>
      <w:r>
        <w:t xml:space="preserve">741 550,9 </w:t>
      </w:r>
      <w:proofErr w:type="spellStart"/>
      <w:r w:rsidR="00D24ABF" w:rsidRPr="000804C1">
        <w:t>тыс.руб</w:t>
      </w:r>
      <w:proofErr w:type="spellEnd"/>
      <w:r>
        <w:t xml:space="preserve">, увеличение на 201 609,6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или 37%.</w:t>
      </w:r>
    </w:p>
    <w:p w:rsidR="00BC2D0C" w:rsidRPr="000804C1" w:rsidRDefault="00D24ABF" w:rsidP="008D3E17">
      <w:pPr>
        <w:ind w:right="-142" w:firstLine="540"/>
        <w:jc w:val="both"/>
      </w:pPr>
      <w:r w:rsidRPr="000804C1">
        <w:t xml:space="preserve">За </w:t>
      </w:r>
      <w:r w:rsidR="00D840B5" w:rsidRPr="000804C1">
        <w:t>2018 год в</w:t>
      </w:r>
      <w:r w:rsidR="008356F9">
        <w:t xml:space="preserve"> </w:t>
      </w:r>
      <w:r w:rsidR="00BC2D0C" w:rsidRPr="000804C1">
        <w:t>местный бюджет поступило</w:t>
      </w:r>
      <w:r w:rsidR="00994781" w:rsidRPr="000804C1">
        <w:t xml:space="preserve"> доходов на общую сумму</w:t>
      </w:r>
      <w:r w:rsidR="0030444C" w:rsidRPr="000804C1">
        <w:t xml:space="preserve"> </w:t>
      </w:r>
      <w:r w:rsidR="008356F9">
        <w:t>1 034 723,2</w:t>
      </w:r>
      <w:r w:rsidR="0030444C" w:rsidRPr="000804C1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A329CB" w:rsidRPr="000804C1">
        <w:t>.</w:t>
      </w:r>
      <w:r w:rsidR="00BC2D0C" w:rsidRPr="000804C1">
        <w:t xml:space="preserve">, что составляет </w:t>
      </w:r>
      <w:r w:rsidR="008356F9">
        <w:t>100,06</w:t>
      </w:r>
      <w:r w:rsidR="00BC2D0C" w:rsidRPr="000804C1">
        <w:t>% к утвержденным бюджетным назначениям, из ни</w:t>
      </w:r>
      <w:r w:rsidR="007D404F" w:rsidRPr="000804C1">
        <w:t>х</w:t>
      </w:r>
      <w:r w:rsidR="00BC2D0C" w:rsidRPr="000804C1">
        <w:t xml:space="preserve">  объем безв</w:t>
      </w:r>
      <w:r w:rsidR="0030444C" w:rsidRPr="000804C1">
        <w:t xml:space="preserve">озмездных поступлений составил </w:t>
      </w:r>
      <w:r w:rsidR="008356F9">
        <w:t>739 970,0</w:t>
      </w:r>
      <w:r w:rsidR="0030444C" w:rsidRPr="000804C1">
        <w:t xml:space="preserve"> </w:t>
      </w:r>
      <w:proofErr w:type="spellStart"/>
      <w:r w:rsidR="00BC2D0C" w:rsidRPr="000804C1">
        <w:t>тыс.руб</w:t>
      </w:r>
      <w:proofErr w:type="spellEnd"/>
      <w:r w:rsidR="007B5DE0" w:rsidRPr="000804C1">
        <w:t>.</w:t>
      </w:r>
      <w:r w:rsidR="00BC2D0C" w:rsidRPr="000804C1">
        <w:t xml:space="preserve"> или </w:t>
      </w:r>
      <w:r w:rsidR="008356F9">
        <w:t>99,8</w:t>
      </w:r>
      <w:r w:rsidR="004A5FAB" w:rsidRPr="000804C1">
        <w:t>%   к утвержденным бюджетным назначениям</w:t>
      </w:r>
      <w:r w:rsidR="00347265" w:rsidRPr="000804C1">
        <w:t>.</w:t>
      </w:r>
    </w:p>
    <w:p w:rsidR="002F0981" w:rsidRPr="000804C1" w:rsidRDefault="002F0981" w:rsidP="008D3E17">
      <w:pPr>
        <w:ind w:right="-142" w:firstLine="540"/>
        <w:jc w:val="both"/>
      </w:pPr>
    </w:p>
    <w:p w:rsidR="002F0981" w:rsidRDefault="00F91CD2" w:rsidP="005567B7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 w:rsidR="000804C1">
        <w:t xml:space="preserve">исполнения </w:t>
      </w:r>
      <w:r w:rsidR="00DE0792" w:rsidRPr="000804C1">
        <w:t xml:space="preserve">бюджета муниципального образования – «город Тулун» </w:t>
      </w:r>
      <w:r w:rsidR="000804C1">
        <w:t xml:space="preserve">по доходам </w:t>
      </w:r>
      <w:r w:rsidR="008356F9">
        <w:t>за 2018 год</w:t>
      </w:r>
      <w:r w:rsidRPr="000804C1">
        <w:t xml:space="preserve"> </w:t>
      </w:r>
      <w:r w:rsidR="00DE0792" w:rsidRPr="000804C1">
        <w:t xml:space="preserve"> представлен</w:t>
      </w:r>
      <w:r w:rsidRPr="000804C1">
        <w:t>а</w:t>
      </w:r>
      <w:r w:rsidR="000804C1">
        <w:t xml:space="preserve"> на рисунке № 1.</w:t>
      </w:r>
    </w:p>
    <w:p w:rsidR="005567B7" w:rsidRDefault="005567B7" w:rsidP="005567B7">
      <w:pPr>
        <w:autoSpaceDE w:val="0"/>
        <w:autoSpaceDN w:val="0"/>
        <w:adjustRightInd w:val="0"/>
        <w:ind w:firstLine="540"/>
        <w:jc w:val="both"/>
      </w:pPr>
    </w:p>
    <w:p w:rsidR="00B30C34" w:rsidRPr="00004934" w:rsidRDefault="00326931" w:rsidP="00BE454D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004934">
        <w:rPr>
          <w:b/>
          <w:sz w:val="22"/>
          <w:szCs w:val="22"/>
        </w:rPr>
        <w:t>Рисунок № 1</w:t>
      </w:r>
    </w:p>
    <w:p w:rsidR="00326931" w:rsidRDefault="00326931" w:rsidP="00DE0792">
      <w:pPr>
        <w:autoSpaceDE w:val="0"/>
        <w:autoSpaceDN w:val="0"/>
        <w:adjustRightInd w:val="0"/>
        <w:ind w:firstLine="540"/>
        <w:jc w:val="both"/>
      </w:pPr>
    </w:p>
    <w:p w:rsidR="0030444C" w:rsidRDefault="004854C7" w:rsidP="000431EC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 wp14:anchorId="04CF9816">
            <wp:extent cx="6076315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ABF" w:rsidRDefault="0030444C" w:rsidP="0030444C">
      <w:pPr>
        <w:ind w:right="-142"/>
        <w:jc w:val="both"/>
      </w:pPr>
      <w:r>
        <w:t>О</w:t>
      </w:r>
      <w:r w:rsidRPr="00D840B5">
        <w:t xml:space="preserve">сновную долю </w:t>
      </w:r>
      <w:r w:rsidR="00D24ABF" w:rsidRPr="00D840B5">
        <w:t xml:space="preserve">в структуре  исполнения  бюджета муниципального образования – «город Тулун» </w:t>
      </w:r>
      <w:r>
        <w:t xml:space="preserve">по доходам за </w:t>
      </w:r>
      <w:r w:rsidR="00D24ABF" w:rsidRPr="00D840B5">
        <w:t>20</w:t>
      </w:r>
      <w:r>
        <w:t xml:space="preserve">18 год </w:t>
      </w:r>
      <w:r w:rsidR="00D24ABF" w:rsidRPr="00D840B5">
        <w:t xml:space="preserve"> составили безвозмездные поступления от других бюджетов бюджетно</w:t>
      </w:r>
      <w:r w:rsidR="00D24ABF">
        <w:t>й системы</w:t>
      </w:r>
      <w:r w:rsidR="005B7FC8">
        <w:t xml:space="preserve"> РФ</w:t>
      </w:r>
      <w:r w:rsidR="00D24ABF">
        <w:t xml:space="preserve"> </w:t>
      </w:r>
      <w:r w:rsidR="004854C7">
        <w:t>–71</w:t>
      </w:r>
      <w:r>
        <w:t xml:space="preserve"> %, д</w:t>
      </w:r>
      <w:r w:rsidR="00D24ABF">
        <w:t>оля налоговых доходов составила</w:t>
      </w:r>
      <w:r w:rsidR="004854C7">
        <w:t xml:space="preserve"> 24</w:t>
      </w:r>
      <w:r w:rsidR="00D24ABF">
        <w:t xml:space="preserve"> %, </w:t>
      </w:r>
      <w:r w:rsidR="00F52D51">
        <w:t xml:space="preserve">доля неналоговых доходов составила </w:t>
      </w:r>
      <w:r w:rsidR="00D24ABF">
        <w:t>5%.</w:t>
      </w:r>
    </w:p>
    <w:p w:rsidR="001E53C6" w:rsidRDefault="001E53C6" w:rsidP="0030444C">
      <w:pPr>
        <w:ind w:right="-142"/>
        <w:jc w:val="both"/>
      </w:pPr>
    </w:p>
    <w:p w:rsidR="00256730" w:rsidRDefault="00256730" w:rsidP="00256730">
      <w:pPr>
        <w:autoSpaceDE w:val="0"/>
        <w:autoSpaceDN w:val="0"/>
        <w:adjustRightInd w:val="0"/>
        <w:ind w:firstLine="540"/>
        <w:jc w:val="both"/>
      </w:pPr>
      <w:r>
        <w:t>Основные показатели фактического поступления доходов местного бюджета за 2018г в сравнении с аналогичным периодом прошлого года  представлены в таблице №2.</w:t>
      </w:r>
    </w:p>
    <w:p w:rsidR="00256730" w:rsidRDefault="00256730" w:rsidP="00256730">
      <w:pPr>
        <w:autoSpaceDE w:val="0"/>
        <w:autoSpaceDN w:val="0"/>
        <w:adjustRightInd w:val="0"/>
        <w:ind w:firstLine="540"/>
        <w:jc w:val="both"/>
      </w:pPr>
    </w:p>
    <w:p w:rsidR="00B46DE8" w:rsidRDefault="00256730" w:rsidP="00256730">
      <w:pPr>
        <w:autoSpaceDE w:val="0"/>
        <w:autoSpaceDN w:val="0"/>
        <w:adjustRightInd w:val="0"/>
        <w:ind w:firstLine="540"/>
        <w:jc w:val="right"/>
      </w:pPr>
      <w:r>
        <w:t xml:space="preserve">        </w:t>
      </w:r>
    </w:p>
    <w:p w:rsidR="00256730" w:rsidRPr="00256730" w:rsidRDefault="00256730" w:rsidP="00256730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>
        <w:lastRenderedPageBreak/>
        <w:t xml:space="preserve">       </w:t>
      </w:r>
      <w:r w:rsidR="004E1AE5">
        <w:t xml:space="preserve">       </w:t>
      </w:r>
      <w:r w:rsidRPr="00256730">
        <w:rPr>
          <w:b/>
          <w:sz w:val="20"/>
          <w:szCs w:val="20"/>
        </w:rPr>
        <w:t>Таблица №</w:t>
      </w:r>
      <w:r>
        <w:rPr>
          <w:b/>
          <w:sz w:val="20"/>
          <w:szCs w:val="20"/>
        </w:rPr>
        <w:t>2</w:t>
      </w:r>
      <w:r w:rsidRPr="00256730">
        <w:rPr>
          <w:b/>
          <w:sz w:val="20"/>
          <w:szCs w:val="20"/>
        </w:rPr>
        <w:t xml:space="preserve"> (</w:t>
      </w:r>
      <w:proofErr w:type="spellStart"/>
      <w:r w:rsidRPr="00256730">
        <w:rPr>
          <w:b/>
          <w:sz w:val="20"/>
          <w:szCs w:val="20"/>
        </w:rPr>
        <w:t>тыс</w:t>
      </w:r>
      <w:proofErr w:type="gramStart"/>
      <w:r w:rsidRPr="00256730">
        <w:rPr>
          <w:b/>
          <w:sz w:val="20"/>
          <w:szCs w:val="20"/>
        </w:rPr>
        <w:t>.р</w:t>
      </w:r>
      <w:proofErr w:type="gramEnd"/>
      <w:r w:rsidRPr="00256730">
        <w:rPr>
          <w:b/>
          <w:sz w:val="20"/>
          <w:szCs w:val="20"/>
        </w:rPr>
        <w:t>уб</w:t>
      </w:r>
      <w:proofErr w:type="spellEnd"/>
      <w:r w:rsidRPr="00256730">
        <w:rPr>
          <w:b/>
          <w:sz w:val="20"/>
          <w:szCs w:val="20"/>
        </w:rPr>
        <w:t>.)</w:t>
      </w:r>
      <w:r w:rsidRPr="00256730">
        <w:rPr>
          <w:b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1383"/>
      </w:tblGrid>
      <w:tr w:rsidR="00256730" w:rsidRPr="00B90C65" w:rsidTr="000F061C">
        <w:tc>
          <w:tcPr>
            <w:tcW w:w="5495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Приро</w:t>
            </w:r>
            <w:proofErr w:type="gramStart"/>
            <w:r w:rsidRPr="004E1AE5">
              <w:rPr>
                <w:b/>
                <w:sz w:val="20"/>
                <w:szCs w:val="20"/>
              </w:rPr>
              <w:t>ст к пр</w:t>
            </w:r>
            <w:proofErr w:type="gramEnd"/>
            <w:r w:rsidRPr="004E1AE5">
              <w:rPr>
                <w:b/>
                <w:sz w:val="20"/>
                <w:szCs w:val="20"/>
              </w:rPr>
              <w:t>ошлому году, %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52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220 829,5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248 170,8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+12,4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52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42 248,3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46 582,4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+10,3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52"/>
              <w:rPr>
                <w:i/>
                <w:sz w:val="20"/>
                <w:szCs w:val="20"/>
              </w:rPr>
            </w:pPr>
            <w:r w:rsidRPr="004E1AE5">
              <w:rPr>
                <w:i/>
                <w:sz w:val="20"/>
                <w:szCs w:val="20"/>
              </w:rPr>
              <w:t>Налоговые и неналоговые доходы всего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i/>
                <w:sz w:val="20"/>
                <w:szCs w:val="20"/>
              </w:rPr>
            </w:pPr>
            <w:r w:rsidRPr="004E1AE5">
              <w:rPr>
                <w:i/>
                <w:sz w:val="20"/>
                <w:szCs w:val="20"/>
              </w:rPr>
              <w:t>263 077,8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i/>
                <w:sz w:val="20"/>
                <w:szCs w:val="20"/>
              </w:rPr>
            </w:pPr>
            <w:r w:rsidRPr="004E1AE5">
              <w:rPr>
                <w:i/>
                <w:sz w:val="20"/>
                <w:szCs w:val="20"/>
              </w:rPr>
              <w:t>294 753,2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i/>
                <w:sz w:val="20"/>
                <w:szCs w:val="20"/>
              </w:rPr>
            </w:pPr>
            <w:r w:rsidRPr="004E1AE5">
              <w:rPr>
                <w:i/>
                <w:sz w:val="20"/>
                <w:szCs w:val="20"/>
              </w:rPr>
              <w:t>+12,0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52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716 285,5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739 970,0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+3,3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725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 xml:space="preserve">в </w:t>
            </w:r>
            <w:proofErr w:type="spellStart"/>
            <w:r w:rsidRPr="004E1AE5">
              <w:rPr>
                <w:sz w:val="20"/>
                <w:szCs w:val="20"/>
              </w:rPr>
              <w:t>т.ч</w:t>
            </w:r>
            <w:proofErr w:type="spellEnd"/>
            <w:r w:rsidRPr="004E1AE5">
              <w:rPr>
                <w:sz w:val="20"/>
                <w:szCs w:val="20"/>
              </w:rPr>
              <w:t xml:space="preserve">. дотации на выравнивание уровня </w:t>
            </w:r>
          </w:p>
          <w:p w:rsidR="00256730" w:rsidRPr="004E1AE5" w:rsidRDefault="00256730" w:rsidP="000F061C">
            <w:pPr>
              <w:ind w:right="-725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 xml:space="preserve">бюджетной обеспеченности и на поддержку мер </w:t>
            </w:r>
          </w:p>
          <w:p w:rsidR="00256730" w:rsidRPr="004E1AE5" w:rsidRDefault="00256730" w:rsidP="000F061C">
            <w:pPr>
              <w:ind w:right="-52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70 269,3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99 883,6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+42,1</w:t>
            </w:r>
          </w:p>
        </w:tc>
      </w:tr>
      <w:tr w:rsidR="00256730" w:rsidRPr="00B90C65" w:rsidTr="000F061C">
        <w:tc>
          <w:tcPr>
            <w:tcW w:w="5495" w:type="dxa"/>
          </w:tcPr>
          <w:p w:rsidR="00256730" w:rsidRPr="004E1AE5" w:rsidRDefault="00256730" w:rsidP="000F061C">
            <w:pPr>
              <w:ind w:right="-52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979 363,3</w:t>
            </w:r>
          </w:p>
        </w:tc>
        <w:tc>
          <w:tcPr>
            <w:tcW w:w="1417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1 034 723,2</w:t>
            </w:r>
          </w:p>
        </w:tc>
        <w:tc>
          <w:tcPr>
            <w:tcW w:w="1383" w:type="dxa"/>
            <w:vAlign w:val="center"/>
          </w:tcPr>
          <w:p w:rsidR="00256730" w:rsidRPr="004E1AE5" w:rsidRDefault="00256730" w:rsidP="000F061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4E1AE5">
              <w:rPr>
                <w:b/>
                <w:sz w:val="20"/>
                <w:szCs w:val="20"/>
              </w:rPr>
              <w:t>+5,7</w:t>
            </w:r>
          </w:p>
        </w:tc>
      </w:tr>
    </w:tbl>
    <w:p w:rsidR="00256730" w:rsidRDefault="00256730" w:rsidP="00256730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56730" w:rsidRDefault="00256730" w:rsidP="00256730">
      <w:pPr>
        <w:autoSpaceDE w:val="0"/>
        <w:autoSpaceDN w:val="0"/>
        <w:adjustRightInd w:val="0"/>
        <w:ind w:firstLine="540"/>
        <w:jc w:val="both"/>
      </w:pPr>
      <w:r>
        <w:t xml:space="preserve">В сравнении с аналогичным периодом прошлого года общая доходная база местного бюджета увеличилась на 55 359,9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или на 5,7%. </w:t>
      </w:r>
    </w:p>
    <w:p w:rsidR="00256730" w:rsidRDefault="00256730" w:rsidP="00256730">
      <w:pPr>
        <w:autoSpaceDE w:val="0"/>
        <w:autoSpaceDN w:val="0"/>
        <w:adjustRightInd w:val="0"/>
        <w:ind w:firstLine="540"/>
        <w:jc w:val="both"/>
      </w:pPr>
      <w:r>
        <w:t xml:space="preserve">Поступление налоговых и неналоговых доходов в сравнении с аналогичным периодом прошлого года увеличилось на 31 675,4 тыс. руб. Безвозмездные перечисления увеличились на 3,3% или на 23 684,5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в связи с увеличением перечислений из областного бюджета в 2018 году дотаций.</w:t>
      </w:r>
    </w:p>
    <w:p w:rsidR="00256730" w:rsidRDefault="00256730" w:rsidP="0030444C">
      <w:pPr>
        <w:ind w:right="-142"/>
        <w:jc w:val="both"/>
      </w:pPr>
    </w:p>
    <w:p w:rsidR="002058AC" w:rsidRPr="00A57033" w:rsidRDefault="001E53C6" w:rsidP="001E53C6">
      <w:pPr>
        <w:autoSpaceDE w:val="0"/>
        <w:autoSpaceDN w:val="0"/>
        <w:adjustRightInd w:val="0"/>
        <w:ind w:firstLine="540"/>
        <w:jc w:val="both"/>
      </w:pPr>
      <w:r>
        <w:t xml:space="preserve">Анализ исполнения местного бюджета по видам доходов </w:t>
      </w:r>
      <w:r w:rsidR="002F0981">
        <w:t xml:space="preserve">и безвозмездным поступлениям </w:t>
      </w:r>
      <w:r>
        <w:t xml:space="preserve">за 2018 год приведен в таблице № </w:t>
      </w:r>
      <w:r w:rsidR="00256730">
        <w:t>3</w:t>
      </w:r>
      <w:r>
        <w:t>.</w:t>
      </w:r>
    </w:p>
    <w:p w:rsidR="000F5823" w:rsidRPr="00A57033" w:rsidRDefault="000F5823" w:rsidP="008D3E17">
      <w:pPr>
        <w:ind w:right="-142" w:firstLine="540"/>
        <w:jc w:val="right"/>
      </w:pPr>
    </w:p>
    <w:p w:rsidR="0024058E" w:rsidRPr="004B1738" w:rsidRDefault="00BC2D0C" w:rsidP="004854C7">
      <w:pPr>
        <w:ind w:right="-142" w:firstLine="540"/>
        <w:jc w:val="right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</w:t>
      </w:r>
      <w:r w:rsidR="00256730">
        <w:rPr>
          <w:b/>
          <w:sz w:val="20"/>
          <w:szCs w:val="20"/>
        </w:rPr>
        <w:t>3</w:t>
      </w:r>
      <w:r w:rsidRPr="004B1738">
        <w:rPr>
          <w:b/>
          <w:sz w:val="20"/>
          <w:szCs w:val="20"/>
        </w:rPr>
        <w:t xml:space="preserve"> (</w:t>
      </w:r>
      <w:proofErr w:type="spellStart"/>
      <w:r w:rsidRPr="004B1738">
        <w:rPr>
          <w:b/>
          <w:sz w:val="20"/>
          <w:szCs w:val="20"/>
        </w:rPr>
        <w:t>тыс</w:t>
      </w:r>
      <w:proofErr w:type="gramStart"/>
      <w:r w:rsidRPr="004B1738">
        <w:rPr>
          <w:b/>
          <w:sz w:val="20"/>
          <w:szCs w:val="20"/>
        </w:rPr>
        <w:t>.р</w:t>
      </w:r>
      <w:proofErr w:type="gramEnd"/>
      <w:r w:rsidRPr="004B1738">
        <w:rPr>
          <w:b/>
          <w:sz w:val="20"/>
          <w:szCs w:val="20"/>
        </w:rPr>
        <w:t>уб</w:t>
      </w:r>
      <w:proofErr w:type="spellEnd"/>
      <w:r w:rsidR="004B1738" w:rsidRPr="004B1738">
        <w:rPr>
          <w:b/>
          <w:sz w:val="20"/>
          <w:szCs w:val="20"/>
        </w:rPr>
        <w:t>.</w:t>
      </w:r>
      <w:r w:rsidRPr="004B1738">
        <w:rPr>
          <w:b/>
          <w:sz w:val="20"/>
          <w:szCs w:val="20"/>
        </w:rPr>
        <w:t>)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126"/>
        <w:gridCol w:w="1843"/>
        <w:gridCol w:w="1843"/>
      </w:tblGrid>
      <w:tr w:rsidR="001E53C6" w:rsidRPr="00A57033" w:rsidTr="008A1B1B">
        <w:trPr>
          <w:trHeight w:val="1405"/>
        </w:trPr>
        <w:tc>
          <w:tcPr>
            <w:tcW w:w="367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DD4D17" w:rsidP="00A63A90">
            <w:pPr>
              <w:jc w:val="center"/>
              <w:rPr>
                <w:sz w:val="18"/>
                <w:szCs w:val="18"/>
              </w:rPr>
            </w:pPr>
            <w:r w:rsidRPr="00DD4D17">
              <w:rPr>
                <w:sz w:val="18"/>
                <w:szCs w:val="18"/>
                <w:lang w:eastAsia="en-US"/>
              </w:rPr>
              <w:t>Утверждено решением Думы городского округа №39-ДГО от 26.12.2017г (с учетом изменений внесенных решением Думы городского округа №29-ДГО от 27.12.2018г)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B05EB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292 537,6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294 753,2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7D6FCA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100,8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246 671,4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248 170,8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7D6FCA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118AA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148 832,0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150 935,0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124B2C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E53C6" w:rsidRPr="00A57033" w:rsidTr="000759B7">
        <w:trPr>
          <w:trHeight w:val="78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8118A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товары (работы, услуги), реализуемые</w:t>
            </w:r>
            <w:r w:rsidR="001E53C6" w:rsidRPr="00A5703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11 892,6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8AA" w:rsidRDefault="008118AA" w:rsidP="000759B7">
            <w:pPr>
              <w:jc w:val="center"/>
              <w:rPr>
                <w:sz w:val="20"/>
                <w:szCs w:val="20"/>
              </w:rPr>
            </w:pPr>
          </w:p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11 877,0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8AA" w:rsidRDefault="008118AA" w:rsidP="000759B7">
            <w:pPr>
              <w:jc w:val="center"/>
              <w:rPr>
                <w:sz w:val="20"/>
                <w:szCs w:val="20"/>
              </w:rPr>
            </w:pPr>
          </w:p>
          <w:p w:rsidR="001E53C6" w:rsidRPr="00466C7E" w:rsidRDefault="00124B2C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37 806,8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38 035,5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124B2C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37 598,9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124B2C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124B2C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45 866,2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0759B7">
              <w:rPr>
                <w:b/>
                <w:bCs/>
                <w:sz w:val="20"/>
                <w:szCs w:val="20"/>
              </w:rPr>
              <w:t> 582,4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D3792E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101,6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30 859,8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31 188,7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466C7E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8118AA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4 478,9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4 497,7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4 155,5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Default="001E53C6" w:rsidP="000759B7">
            <w:pPr>
              <w:jc w:val="center"/>
              <w:rPr>
                <w:sz w:val="20"/>
                <w:szCs w:val="20"/>
              </w:rPr>
            </w:pPr>
          </w:p>
          <w:p w:rsidR="00BA1029" w:rsidRPr="00466C7E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F42354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0759B7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0759B7" w:rsidRPr="000759B7" w:rsidRDefault="000759B7" w:rsidP="009E44C1">
            <w:pPr>
              <w:rPr>
                <w:bCs/>
                <w:sz w:val="20"/>
                <w:szCs w:val="20"/>
              </w:rPr>
            </w:pPr>
            <w:r w:rsidRPr="000759B7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759B7" w:rsidRDefault="00D3792E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59B7" w:rsidRPr="000759B7" w:rsidRDefault="000759B7" w:rsidP="000759B7">
            <w:pPr>
              <w:jc w:val="center"/>
              <w:rPr>
                <w:bCs/>
                <w:sz w:val="20"/>
                <w:szCs w:val="20"/>
              </w:rPr>
            </w:pPr>
            <w:r w:rsidRPr="000759B7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59B7" w:rsidRDefault="00D3792E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DA2923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741 550,9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D3792E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739 970,0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D3792E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E53C6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3371F3" w:rsidRDefault="00DA2923" w:rsidP="0007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743 839,3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D3792E" w:rsidP="0007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742 290,7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277807" w:rsidRDefault="001E53C6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3371F3" w:rsidRDefault="00DA2923" w:rsidP="0007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</w:t>
            </w:r>
            <w:r w:rsidR="00F42354">
              <w:rPr>
                <w:bCs/>
                <w:sz w:val="20"/>
                <w:szCs w:val="20"/>
              </w:rPr>
              <w:t> 288,4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78712F" w:rsidP="00D379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</w:t>
            </w:r>
            <w:r w:rsidR="00D3792E">
              <w:rPr>
                <w:bCs/>
                <w:sz w:val="20"/>
                <w:szCs w:val="20"/>
              </w:rPr>
              <w:t> 320,6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D3792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E53C6" w:rsidRPr="00A57033" w:rsidTr="000759B7">
        <w:trPr>
          <w:trHeight w:val="45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5D1C13" w:rsidRDefault="001E53C6" w:rsidP="009E44C1">
            <w:pPr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lastRenderedPageBreak/>
              <w:t>Всего доходов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6193" w:rsidRPr="005D1C13" w:rsidRDefault="00056193" w:rsidP="000759B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53C6" w:rsidRPr="005D1C13" w:rsidRDefault="00F42354" w:rsidP="0007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1 034 088,5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5D1C13" w:rsidRDefault="001E53C6" w:rsidP="000759B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56193" w:rsidRPr="005D1C13" w:rsidRDefault="00F42354" w:rsidP="0007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1 034 723,3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5D1C13" w:rsidRDefault="001E53C6" w:rsidP="000759B7">
            <w:pPr>
              <w:jc w:val="center"/>
              <w:rPr>
                <w:b/>
                <w:sz w:val="22"/>
                <w:szCs w:val="22"/>
              </w:rPr>
            </w:pPr>
          </w:p>
          <w:p w:rsidR="00056193" w:rsidRPr="005D1C13" w:rsidRDefault="00D3792E" w:rsidP="00075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100,06</w:t>
            </w:r>
          </w:p>
        </w:tc>
      </w:tr>
    </w:tbl>
    <w:p w:rsidR="002552BC" w:rsidRDefault="002552BC" w:rsidP="008D3E17">
      <w:pPr>
        <w:autoSpaceDE w:val="0"/>
        <w:autoSpaceDN w:val="0"/>
        <w:adjustRightInd w:val="0"/>
        <w:ind w:firstLine="540"/>
        <w:jc w:val="both"/>
      </w:pPr>
    </w:p>
    <w:p w:rsidR="0054132E" w:rsidRDefault="00DB7783" w:rsidP="008D3E17">
      <w:pPr>
        <w:autoSpaceDE w:val="0"/>
        <w:autoSpaceDN w:val="0"/>
        <w:adjustRightInd w:val="0"/>
        <w:ind w:firstLine="540"/>
        <w:jc w:val="both"/>
      </w:pPr>
      <w:r w:rsidRPr="00A57033">
        <w:t>Из таблицы</w:t>
      </w:r>
      <w:r w:rsidR="00256730">
        <w:t xml:space="preserve"> № 3</w:t>
      </w:r>
      <w:r w:rsidRPr="00A57033">
        <w:t xml:space="preserve"> видно, что </w:t>
      </w:r>
      <w:r w:rsidR="00D3792E">
        <w:t xml:space="preserve">за 2018 год </w:t>
      </w:r>
      <w:r w:rsidRPr="00A57033">
        <w:t xml:space="preserve"> </w:t>
      </w:r>
      <w:r>
        <w:t>н</w:t>
      </w:r>
      <w:r w:rsidR="008C3F3B" w:rsidRPr="008C3F3B">
        <w:t>а</w:t>
      </w:r>
      <w:r>
        <w:t xml:space="preserve">логовые доходы исполнены на </w:t>
      </w:r>
      <w:r w:rsidR="00D3792E">
        <w:t>100,6</w:t>
      </w:r>
      <w:r>
        <w:t>% от утвержденных</w:t>
      </w:r>
      <w:r w:rsidR="008C3F3B" w:rsidRPr="008C3F3B">
        <w:t xml:space="preserve"> </w:t>
      </w:r>
      <w:r w:rsidR="005B7FC8">
        <w:t xml:space="preserve">бюджетных </w:t>
      </w:r>
      <w:r w:rsidR="008C3F3B" w:rsidRPr="008C3F3B">
        <w:t xml:space="preserve">назначений, неналоговые доходы  </w:t>
      </w:r>
      <w:r>
        <w:t xml:space="preserve">исполнены на </w:t>
      </w:r>
      <w:r w:rsidR="00D3792E">
        <w:t>101,6</w:t>
      </w:r>
      <w:r w:rsidR="0054132E">
        <w:t xml:space="preserve">%, поступило в доход местного бюджета сверх утвержденных </w:t>
      </w:r>
      <w:r w:rsidR="005B7FC8">
        <w:t xml:space="preserve">бюджетных </w:t>
      </w:r>
      <w:r w:rsidR="0054132E">
        <w:t xml:space="preserve">назначений  2 215,6 </w:t>
      </w:r>
      <w:proofErr w:type="spellStart"/>
      <w:proofErr w:type="gramStart"/>
      <w:r w:rsidR="0054132E">
        <w:t>тыс</w:t>
      </w:r>
      <w:proofErr w:type="spellEnd"/>
      <w:proofErr w:type="gramEnd"/>
      <w:r w:rsidR="0054132E">
        <w:t xml:space="preserve"> руб.</w:t>
      </w:r>
    </w:p>
    <w:p w:rsidR="0054132E" w:rsidRDefault="0054132E" w:rsidP="0054132E">
      <w:pPr>
        <w:autoSpaceDE w:val="0"/>
        <w:autoSpaceDN w:val="0"/>
        <w:adjustRightInd w:val="0"/>
        <w:ind w:firstLine="540"/>
        <w:jc w:val="both"/>
      </w:pPr>
      <w:r>
        <w:t>Объем безвозмездных поступлений исполнен</w:t>
      </w:r>
      <w:r w:rsidR="00DB7783">
        <w:t xml:space="preserve"> на </w:t>
      </w:r>
      <w:r w:rsidR="00D3792E">
        <w:t>99,8</w:t>
      </w:r>
      <w:r w:rsidR="008C3F3B">
        <w:t>%</w:t>
      </w:r>
      <w:r w:rsidR="00983F07">
        <w:t xml:space="preserve"> </w:t>
      </w:r>
      <w:r>
        <w:t xml:space="preserve"> или не поступило в доход местного бюджета 1 580,9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</w:t>
      </w:r>
    </w:p>
    <w:p w:rsidR="00F56CF2" w:rsidRDefault="00983F07" w:rsidP="00256730">
      <w:pPr>
        <w:autoSpaceDE w:val="0"/>
        <w:autoSpaceDN w:val="0"/>
        <w:adjustRightInd w:val="0"/>
        <w:ind w:firstLine="540"/>
        <w:jc w:val="both"/>
      </w:pPr>
      <w:r>
        <w:t xml:space="preserve">Наблюдается перевыполнение утвержденных назначений по </w:t>
      </w:r>
      <w:r w:rsidRPr="00983F07">
        <w:t xml:space="preserve">доходам  </w:t>
      </w:r>
      <w:r w:rsidR="00F56CF2">
        <w:t xml:space="preserve">от продажи материальных и нематериальных активов на 4,8% или 201,5 </w:t>
      </w:r>
      <w:proofErr w:type="spellStart"/>
      <w:proofErr w:type="gramStart"/>
      <w:r w:rsidR="00F56CF2">
        <w:t>тыс</w:t>
      </w:r>
      <w:proofErr w:type="spellEnd"/>
      <w:proofErr w:type="gramEnd"/>
      <w:r w:rsidR="00F56CF2">
        <w:t xml:space="preserve"> </w:t>
      </w:r>
      <w:proofErr w:type="spellStart"/>
      <w:r w:rsidR="00F56CF2">
        <w:t>руб</w:t>
      </w:r>
      <w:proofErr w:type="spellEnd"/>
      <w:r w:rsidR="00F56CF2">
        <w:t xml:space="preserve">; по штрафам, санкциям, возмещениям ущерба на 3,4% или 197,6 </w:t>
      </w:r>
      <w:proofErr w:type="spellStart"/>
      <w:r w:rsidR="00F56CF2">
        <w:t>тыс</w:t>
      </w:r>
      <w:proofErr w:type="spellEnd"/>
      <w:r w:rsidR="00F56CF2">
        <w:t xml:space="preserve"> </w:t>
      </w:r>
      <w:proofErr w:type="spellStart"/>
      <w:r w:rsidR="00F56CF2">
        <w:t>руб</w:t>
      </w:r>
      <w:proofErr w:type="spellEnd"/>
      <w:r w:rsidR="00F56CF2">
        <w:t xml:space="preserve">; по налогу на доходы физических лиц на 1,4% или 2 103,0 </w:t>
      </w:r>
      <w:proofErr w:type="spellStart"/>
      <w:r w:rsidR="00F56CF2">
        <w:t>тыс</w:t>
      </w:r>
      <w:proofErr w:type="spellEnd"/>
      <w:r w:rsidR="00F56CF2">
        <w:t xml:space="preserve"> </w:t>
      </w:r>
      <w:proofErr w:type="spellStart"/>
      <w:r w:rsidR="00F56CF2">
        <w:t>руб</w:t>
      </w:r>
      <w:proofErr w:type="spellEnd"/>
      <w:r w:rsidR="00F56CF2">
        <w:t xml:space="preserve">; по доходам от использования имущества, находящегося в муниципальной собственности на 1,1% или 328,9 </w:t>
      </w:r>
      <w:proofErr w:type="spellStart"/>
      <w:r w:rsidR="00F56CF2">
        <w:t>тыс</w:t>
      </w:r>
      <w:proofErr w:type="spellEnd"/>
      <w:r w:rsidR="00F56CF2">
        <w:t xml:space="preserve"> руб.</w:t>
      </w:r>
    </w:p>
    <w:p w:rsidR="009E44C1" w:rsidRDefault="00F56CF2" w:rsidP="00256730">
      <w:pPr>
        <w:autoSpaceDE w:val="0"/>
        <w:autoSpaceDN w:val="0"/>
        <w:adjustRightInd w:val="0"/>
        <w:ind w:firstLine="540"/>
        <w:jc w:val="both"/>
      </w:pPr>
      <w:r>
        <w:t>Н</w:t>
      </w:r>
      <w:r w:rsidR="0013436A" w:rsidRPr="0013436A">
        <w:t xml:space="preserve">евыполнение </w:t>
      </w:r>
      <w:r w:rsidR="0013436A">
        <w:t xml:space="preserve">утвержденных </w:t>
      </w:r>
      <w:r w:rsidR="00256730">
        <w:t xml:space="preserve">бюджетных </w:t>
      </w:r>
      <w:r w:rsidR="0013436A">
        <w:t>назначений</w:t>
      </w:r>
      <w:r w:rsidR="00D3792E">
        <w:t xml:space="preserve"> </w:t>
      </w:r>
      <w:r w:rsidR="0013436A" w:rsidRPr="0087515A">
        <w:t>по налогу на имущество</w:t>
      </w:r>
      <w:r w:rsidR="00D3792E">
        <w:t xml:space="preserve"> </w:t>
      </w:r>
      <w:r w:rsidR="0087515A" w:rsidRPr="0087515A">
        <w:t xml:space="preserve">на </w:t>
      </w:r>
      <w:r w:rsidR="005B7FC8">
        <w:t>2,4</w:t>
      </w:r>
      <w:r w:rsidR="0087515A" w:rsidRPr="0087515A">
        <w:t xml:space="preserve">% </w:t>
      </w:r>
      <w:r w:rsidR="005B7FC8">
        <w:t xml:space="preserve">или 901,1 </w:t>
      </w:r>
      <w:proofErr w:type="spellStart"/>
      <w:proofErr w:type="gramStart"/>
      <w:r w:rsidR="005B7FC8">
        <w:t>тыс</w:t>
      </w:r>
      <w:proofErr w:type="spellEnd"/>
      <w:proofErr w:type="gramEnd"/>
      <w:r w:rsidR="005B7FC8">
        <w:t xml:space="preserve"> </w:t>
      </w:r>
      <w:proofErr w:type="spellStart"/>
      <w:r w:rsidR="005B7FC8">
        <w:t>руб</w:t>
      </w:r>
      <w:proofErr w:type="spellEnd"/>
      <w:r w:rsidR="005B7FC8">
        <w:t xml:space="preserve">, </w:t>
      </w:r>
      <w:r w:rsidR="0087515A" w:rsidRPr="0087515A">
        <w:t xml:space="preserve">по </w:t>
      </w:r>
      <w:r w:rsidR="005B7FC8">
        <w:t xml:space="preserve">платежам при пользовании природными ресурсами на 6,2% или 32,4 </w:t>
      </w:r>
      <w:proofErr w:type="spellStart"/>
      <w:r w:rsidR="005B7FC8">
        <w:t>тыс</w:t>
      </w:r>
      <w:proofErr w:type="spellEnd"/>
      <w:r w:rsidR="005B7FC8">
        <w:t xml:space="preserve"> </w:t>
      </w:r>
      <w:proofErr w:type="spellStart"/>
      <w:r w:rsidR="005B7FC8">
        <w:t>руб</w:t>
      </w:r>
      <w:proofErr w:type="spellEnd"/>
      <w:r w:rsidR="005B7FC8">
        <w:t xml:space="preserve">, по безвозмездным поступлениям от других бюджетов бюджетной системы РФ  на 0,2% или на 1 548,6 </w:t>
      </w:r>
      <w:proofErr w:type="spellStart"/>
      <w:r w:rsidR="005B7FC8">
        <w:t>тыс.руб</w:t>
      </w:r>
      <w:proofErr w:type="spellEnd"/>
      <w:r w:rsidR="005B7FC8">
        <w:t>.</w:t>
      </w:r>
    </w:p>
    <w:p w:rsidR="00DA3467" w:rsidRDefault="00DA3467" w:rsidP="00256730">
      <w:pPr>
        <w:autoSpaceDE w:val="0"/>
        <w:autoSpaceDN w:val="0"/>
        <w:adjustRightInd w:val="0"/>
      </w:pPr>
    </w:p>
    <w:p w:rsidR="00BC2D0C" w:rsidRPr="00A57033" w:rsidRDefault="00D4308E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>
        <w:rPr>
          <w:b/>
        </w:rPr>
        <w:t>4.2</w:t>
      </w:r>
      <w:r w:rsidR="00BC2D0C" w:rsidRPr="00A57033">
        <w:rPr>
          <w:b/>
        </w:rPr>
        <w:t>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Default="00525C15" w:rsidP="0089377F">
      <w:pPr>
        <w:ind w:firstLine="540"/>
        <w:jc w:val="both"/>
      </w:pPr>
      <w:r>
        <w:t xml:space="preserve">Первоначально  </w:t>
      </w:r>
      <w:r w:rsidR="00BC2D0C" w:rsidRPr="00A57033">
        <w:t xml:space="preserve"> </w:t>
      </w:r>
      <w:r>
        <w:t>решением</w:t>
      </w:r>
      <w:r w:rsidR="004A4152" w:rsidRPr="00A57033">
        <w:t xml:space="preserve"> о бюджете</w:t>
      </w:r>
      <w:r>
        <w:t xml:space="preserve"> </w:t>
      </w:r>
      <w:r w:rsidR="00682E3D" w:rsidRPr="00A57033">
        <w:t xml:space="preserve">от </w:t>
      </w:r>
      <w:r w:rsidR="00682E3D" w:rsidRPr="00C04607">
        <w:t>26.12.2017</w:t>
      </w:r>
      <w:r w:rsidR="00682E3D">
        <w:t>г.</w:t>
      </w:r>
      <w:r w:rsidR="00682E3D" w:rsidRPr="00C04607">
        <w:t xml:space="preserve"> № 39-ДГО</w:t>
      </w:r>
      <w:r w:rsidR="00BC2D0C" w:rsidRPr="00A57033">
        <w:t xml:space="preserve"> общий объем расходов местного бюджета на 201</w:t>
      </w:r>
      <w:r w:rsidR="00725D99">
        <w:t>8</w:t>
      </w:r>
      <w:r w:rsidR="00BC2D0C" w:rsidRPr="00A57033">
        <w:t xml:space="preserve"> год </w:t>
      </w:r>
      <w:r w:rsidR="004A4152" w:rsidRPr="00A57033">
        <w:t xml:space="preserve">был </w:t>
      </w:r>
      <w:r w:rsidR="00BC2D0C" w:rsidRPr="00A57033">
        <w:t xml:space="preserve">утвержден в </w:t>
      </w:r>
      <w:r w:rsidR="004A4152" w:rsidRPr="00A57033">
        <w:t>размере</w:t>
      </w:r>
      <w:r>
        <w:t xml:space="preserve"> 830</w:t>
      </w:r>
      <w:r w:rsidR="00DD4D17">
        <w:t xml:space="preserve"> </w:t>
      </w:r>
      <w:r>
        <w:t>069,3</w:t>
      </w:r>
      <w:r w:rsidR="00BC2D0C" w:rsidRPr="00A57033">
        <w:t xml:space="preserve"> 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BC2D0C" w:rsidRPr="00A57033">
        <w:t>.</w:t>
      </w:r>
      <w:r w:rsidR="00725D99">
        <w:t xml:space="preserve"> </w:t>
      </w:r>
      <w:r w:rsidR="00DD4D17">
        <w:t xml:space="preserve">В связи с </w:t>
      </w:r>
      <w:r w:rsidR="00725D99">
        <w:t xml:space="preserve"> увеличени</w:t>
      </w:r>
      <w:r w:rsidR="00DD4D17">
        <w:t>ем</w:t>
      </w:r>
      <w:r w:rsidR="00725D99">
        <w:t xml:space="preserve"> объема межбюджетных трансфертов</w:t>
      </w:r>
      <w:r w:rsidR="001D7B32">
        <w:t xml:space="preserve"> и</w:t>
      </w:r>
      <w:r w:rsidR="0008754E">
        <w:t xml:space="preserve"> увеличением собственных доходов </w:t>
      </w:r>
      <w:r w:rsidR="001D7B32">
        <w:t>плановый</w:t>
      </w:r>
      <w:r w:rsidR="00725D99">
        <w:t xml:space="preserve"> объем  расходов местного бюджета </w:t>
      </w:r>
      <w:r w:rsidR="0008754E">
        <w:t xml:space="preserve">на 2018 год </w:t>
      </w:r>
      <w:r w:rsidR="00DD4D17">
        <w:t xml:space="preserve">увеличился на 222 442,9 </w:t>
      </w:r>
      <w:proofErr w:type="spellStart"/>
      <w:r w:rsidR="00DD4D17">
        <w:t>тыс</w:t>
      </w:r>
      <w:proofErr w:type="spellEnd"/>
      <w:r w:rsidR="00DD4D17">
        <w:t xml:space="preserve"> </w:t>
      </w:r>
      <w:proofErr w:type="spellStart"/>
      <w:r w:rsidR="00DD4D17">
        <w:t>руб</w:t>
      </w:r>
      <w:proofErr w:type="spellEnd"/>
      <w:r w:rsidR="00DD4D17">
        <w:t xml:space="preserve"> или на 26,8%  и </w:t>
      </w:r>
      <w:r w:rsidR="0008754E">
        <w:t xml:space="preserve">составил </w:t>
      </w:r>
      <w:r w:rsidR="00DD4D17">
        <w:t xml:space="preserve">1 052 512,2 </w:t>
      </w:r>
      <w:proofErr w:type="spellStart"/>
      <w:r w:rsidR="0008754E">
        <w:t>тыс.руб</w:t>
      </w:r>
      <w:proofErr w:type="spellEnd"/>
      <w:r w:rsidR="00725D99">
        <w:t>.</w:t>
      </w:r>
    </w:p>
    <w:p w:rsidR="00AE431E" w:rsidRPr="00CA3915" w:rsidRDefault="00AE431E" w:rsidP="0089377F">
      <w:pPr>
        <w:ind w:firstLine="540"/>
        <w:jc w:val="both"/>
      </w:pPr>
      <w:r w:rsidRPr="00CA3915">
        <w:t xml:space="preserve">За 2018 год расходы  местного бюджета составили  </w:t>
      </w:r>
      <w:r w:rsidR="00DD4D17">
        <w:t>1 033 875,5</w:t>
      </w:r>
      <w:r w:rsidRPr="00CA3915">
        <w:t xml:space="preserve"> </w:t>
      </w:r>
      <w:proofErr w:type="spellStart"/>
      <w:r w:rsidRPr="00CA3915">
        <w:t>тыс</w:t>
      </w:r>
      <w:proofErr w:type="gramStart"/>
      <w:r w:rsidRPr="00CA3915">
        <w:t>.р</w:t>
      </w:r>
      <w:proofErr w:type="gramEnd"/>
      <w:r w:rsidRPr="00CA3915">
        <w:t>уб</w:t>
      </w:r>
      <w:proofErr w:type="spellEnd"/>
      <w:r w:rsidRPr="00CA3915">
        <w:t>.</w:t>
      </w:r>
      <w:r w:rsidR="00DD4D17">
        <w:t xml:space="preserve"> или 98,2</w:t>
      </w:r>
      <w:r w:rsidRPr="00CA3915">
        <w:t>%  к утвержденным бюджетным назначениям.</w:t>
      </w:r>
    </w:p>
    <w:p w:rsidR="00AE431E" w:rsidRDefault="00C66AAD" w:rsidP="0089377F">
      <w:pPr>
        <w:ind w:firstLine="540"/>
        <w:jc w:val="both"/>
      </w:pPr>
      <w:r>
        <w:t>Исполнение расходной части бюджета за 2018 год в разрезе ведомственной структуры расходов бюджета характеризуется следующими показателями:</w:t>
      </w:r>
    </w:p>
    <w:p w:rsidR="00C66AAD" w:rsidRDefault="00C66AAD" w:rsidP="0089377F">
      <w:pPr>
        <w:ind w:firstLine="540"/>
        <w:jc w:val="both"/>
      </w:pPr>
      <w:r>
        <w:t>Главными распорядителями бюджетных средств являлись:</w:t>
      </w:r>
    </w:p>
    <w:p w:rsidR="005B7655" w:rsidRDefault="005B7655" w:rsidP="0089377F">
      <w:pPr>
        <w:ind w:firstLine="540"/>
        <w:jc w:val="both"/>
      </w:pPr>
      <w:r>
        <w:t>-</w:t>
      </w:r>
      <w:r w:rsidR="004478AA">
        <w:t xml:space="preserve"> </w:t>
      </w:r>
      <w:r>
        <w:t xml:space="preserve">МУ «Администрация города Тулуна» (910) кассовые выплаты составили 202 688,0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или </w:t>
      </w:r>
      <w:r w:rsidR="004478AA">
        <w:t xml:space="preserve">19,6% от всех произведенных расходов. Главным распорядителем бюджетных средств не приняты меры к исполнению расходных обязательств на сумму 5 202,6 </w:t>
      </w:r>
      <w:proofErr w:type="spellStart"/>
      <w:proofErr w:type="gramStart"/>
      <w:r w:rsidR="004478AA">
        <w:t>тыс</w:t>
      </w:r>
      <w:proofErr w:type="spellEnd"/>
      <w:proofErr w:type="gramEnd"/>
      <w:r w:rsidR="004478AA">
        <w:t xml:space="preserve"> </w:t>
      </w:r>
      <w:proofErr w:type="spellStart"/>
      <w:r w:rsidR="004478AA">
        <w:t>руб</w:t>
      </w:r>
      <w:proofErr w:type="spellEnd"/>
      <w:r w:rsidR="004478AA">
        <w:t>;</w:t>
      </w:r>
    </w:p>
    <w:p w:rsidR="004478AA" w:rsidRDefault="004478AA" w:rsidP="0089377F">
      <w:pPr>
        <w:ind w:firstLine="540"/>
        <w:jc w:val="both"/>
      </w:pPr>
      <w:r>
        <w:t xml:space="preserve">- МКУ «Комитет социальной политики города Тулуна» (911) кассовые выплаты составили 822 124,9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или 79,5% от всех произведенных расходов. Главным распорядителем бюджетных средств не приняты меры к исполнению расходных обязательств на сумму 12 711,6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4478AA" w:rsidRDefault="004478AA" w:rsidP="0089377F">
      <w:pPr>
        <w:ind w:firstLine="540"/>
        <w:jc w:val="both"/>
      </w:pPr>
      <w:r>
        <w:t xml:space="preserve">- МУ «Дума города Тулуна» (912) </w:t>
      </w:r>
      <w:r w:rsidRPr="004478AA">
        <w:t xml:space="preserve">кассовые выплаты составили </w:t>
      </w:r>
      <w:r>
        <w:t>8 596,7</w:t>
      </w:r>
      <w:r w:rsidRPr="004478AA">
        <w:t xml:space="preserve"> </w:t>
      </w:r>
      <w:proofErr w:type="spellStart"/>
      <w:proofErr w:type="gramStart"/>
      <w:r w:rsidRPr="004478AA">
        <w:t>тыс</w:t>
      </w:r>
      <w:proofErr w:type="spellEnd"/>
      <w:proofErr w:type="gramEnd"/>
      <w:r w:rsidRPr="004478AA">
        <w:t xml:space="preserve"> </w:t>
      </w:r>
      <w:proofErr w:type="spellStart"/>
      <w:r w:rsidRPr="004478AA">
        <w:t>руб</w:t>
      </w:r>
      <w:proofErr w:type="spellEnd"/>
      <w:r w:rsidRPr="004478AA">
        <w:t xml:space="preserve"> или </w:t>
      </w:r>
      <w:r>
        <w:t>0,8</w:t>
      </w:r>
      <w:r w:rsidRPr="004478AA">
        <w:t xml:space="preserve">% от всех произведенных расходов. Главным распорядителем бюджетных средств не приняты меры к исполнению расходных обязательств на сумму </w:t>
      </w:r>
      <w:r>
        <w:t xml:space="preserve">722,5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C66AAD" w:rsidRPr="00A57033" w:rsidRDefault="004478AA" w:rsidP="0089377F">
      <w:pPr>
        <w:ind w:firstLine="540"/>
        <w:jc w:val="both"/>
      </w:pPr>
      <w:r>
        <w:t xml:space="preserve">- </w:t>
      </w:r>
      <w:proofErr w:type="spellStart"/>
      <w:r>
        <w:t>Тулунская</w:t>
      </w:r>
      <w:proofErr w:type="spellEnd"/>
      <w:r>
        <w:t xml:space="preserve">  городская территориальная избирательная комиссия (913) </w:t>
      </w:r>
      <w:r w:rsidRPr="004478AA">
        <w:t xml:space="preserve">кассовые выплаты составили </w:t>
      </w:r>
      <w:r>
        <w:t>465,9</w:t>
      </w:r>
      <w:r w:rsidRPr="004478AA">
        <w:t xml:space="preserve"> </w:t>
      </w:r>
      <w:proofErr w:type="spellStart"/>
      <w:proofErr w:type="gramStart"/>
      <w:r w:rsidRPr="004478AA">
        <w:t>тыс</w:t>
      </w:r>
      <w:proofErr w:type="spellEnd"/>
      <w:proofErr w:type="gramEnd"/>
      <w:r w:rsidRPr="004478AA">
        <w:t xml:space="preserve"> </w:t>
      </w:r>
      <w:proofErr w:type="spellStart"/>
      <w:r w:rsidRPr="004478AA">
        <w:t>руб</w:t>
      </w:r>
      <w:proofErr w:type="spellEnd"/>
      <w:r w:rsidRPr="004478AA">
        <w:t xml:space="preserve"> или </w:t>
      </w:r>
      <w:r>
        <w:t>0,05</w:t>
      </w:r>
      <w:r w:rsidRPr="004478AA">
        <w:t xml:space="preserve">% от всех произведенных расходов. </w:t>
      </w:r>
      <w:r>
        <w:t>Исполнение составило 100%.</w:t>
      </w:r>
    </w:p>
    <w:p w:rsidR="00C9664A" w:rsidRPr="00A57033" w:rsidRDefault="00286910" w:rsidP="005029D5">
      <w:pPr>
        <w:autoSpaceDE w:val="0"/>
        <w:autoSpaceDN w:val="0"/>
        <w:adjustRightInd w:val="0"/>
        <w:ind w:firstLine="709"/>
        <w:jc w:val="both"/>
      </w:pPr>
      <w:r>
        <w:t>Анализ исполнения</w:t>
      </w:r>
      <w:r w:rsidR="00C9664A" w:rsidRPr="00A57033">
        <w:t xml:space="preserve"> бюджетных назначений с детализацией по функциональной структуре </w:t>
      </w:r>
      <w:r w:rsidR="009577C8">
        <w:t xml:space="preserve">расходов </w:t>
      </w:r>
      <w:r w:rsidR="00EB54AD">
        <w:t xml:space="preserve">за </w:t>
      </w:r>
      <w:r w:rsidR="00DD4D17">
        <w:t>2018 год</w:t>
      </w:r>
      <w:r w:rsidR="00EB54AD">
        <w:t xml:space="preserve"> </w:t>
      </w:r>
      <w:r>
        <w:t>приведен</w:t>
      </w:r>
      <w:r w:rsidR="00C9664A" w:rsidRPr="00A57033">
        <w:t xml:space="preserve"> в таблице № </w:t>
      </w:r>
      <w:r w:rsidR="00DD4D17">
        <w:t>4</w:t>
      </w:r>
      <w:r w:rsidR="00414EAF">
        <w:t>.</w:t>
      </w:r>
    </w:p>
    <w:p w:rsidR="00BC2D0C" w:rsidRDefault="003A1C3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7033">
        <w:rPr>
          <w:b/>
          <w:i/>
        </w:rPr>
        <w:tab/>
      </w:r>
    </w:p>
    <w:p w:rsidR="00E91F29" w:rsidRPr="00A57033" w:rsidRDefault="00E91F29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46DE8" w:rsidRDefault="00B46DE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46DE8" w:rsidRDefault="00B46DE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46DE8" w:rsidRDefault="00B46DE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46DE8" w:rsidRDefault="00B46DE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46DE8" w:rsidRDefault="00B46DE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4E1AE5" w:rsidRDefault="004E1AE5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4E1AE5" w:rsidRDefault="004E1AE5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4E1AE5" w:rsidRDefault="004E1AE5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C2D0C" w:rsidRPr="00414EAF" w:rsidRDefault="004B173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14EAF">
        <w:rPr>
          <w:b/>
          <w:sz w:val="20"/>
          <w:szCs w:val="20"/>
        </w:rPr>
        <w:lastRenderedPageBreak/>
        <w:t xml:space="preserve">Таблица № </w:t>
      </w:r>
      <w:r w:rsidR="00DD4D17">
        <w:rPr>
          <w:b/>
          <w:sz w:val="20"/>
          <w:szCs w:val="20"/>
        </w:rPr>
        <w:t>4</w:t>
      </w:r>
      <w:r w:rsidR="00BC2D0C" w:rsidRPr="00414EAF">
        <w:rPr>
          <w:b/>
          <w:sz w:val="20"/>
          <w:szCs w:val="20"/>
        </w:rPr>
        <w:t xml:space="preserve"> (</w:t>
      </w:r>
      <w:proofErr w:type="spellStart"/>
      <w:r w:rsidR="00BC2D0C" w:rsidRPr="00414EAF">
        <w:rPr>
          <w:b/>
          <w:sz w:val="20"/>
          <w:szCs w:val="20"/>
        </w:rPr>
        <w:t>тыс</w:t>
      </w:r>
      <w:proofErr w:type="gramStart"/>
      <w:r w:rsidR="00BC2D0C" w:rsidRPr="00414EAF">
        <w:rPr>
          <w:b/>
          <w:sz w:val="20"/>
          <w:szCs w:val="20"/>
        </w:rPr>
        <w:t>.р</w:t>
      </w:r>
      <w:proofErr w:type="gramEnd"/>
      <w:r w:rsidR="00BC2D0C" w:rsidRPr="00414EAF">
        <w:rPr>
          <w:b/>
          <w:sz w:val="20"/>
          <w:szCs w:val="20"/>
        </w:rPr>
        <w:t>уб</w:t>
      </w:r>
      <w:proofErr w:type="spellEnd"/>
      <w:r w:rsidRPr="00414EAF">
        <w:rPr>
          <w:b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126"/>
        <w:gridCol w:w="1559"/>
        <w:gridCol w:w="1559"/>
      </w:tblGrid>
      <w:tr w:rsidR="005C0363" w:rsidRPr="00A57033" w:rsidTr="0001005E">
        <w:trPr>
          <w:trHeight w:val="1242"/>
        </w:trPr>
        <w:tc>
          <w:tcPr>
            <w:tcW w:w="4503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0363" w:rsidRPr="005C0363" w:rsidRDefault="00DD4D17" w:rsidP="00DD4D1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4D17">
              <w:rPr>
                <w:sz w:val="18"/>
                <w:szCs w:val="18"/>
                <w:lang w:eastAsia="en-US"/>
              </w:rPr>
              <w:t>Утверждено решением Думы городского округа №39-ДГО от 26.12.2017г (с учетом изменений внесенных решением Думы городского округа №29-ДГО от 27.12.2018г)</w:t>
            </w:r>
          </w:p>
        </w:tc>
        <w:tc>
          <w:tcPr>
            <w:tcW w:w="1559" w:type="dxa"/>
            <w:vAlign w:val="center"/>
          </w:tcPr>
          <w:p w:rsidR="005C0363" w:rsidRPr="00A63A90" w:rsidRDefault="005C0363" w:rsidP="005C036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117 734,9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114 937,2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vAlign w:val="center"/>
          </w:tcPr>
          <w:p w:rsidR="00065F30" w:rsidRPr="00A57033" w:rsidRDefault="00F054B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48 162,9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47 311,4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9577C8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79 354,8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76 724,6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667 221,5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659 510,7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50 776,7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49 637,4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376,9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58 712,7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55 713,5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26 885,8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26 492,0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2 427,5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2 373,5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vAlign w:val="center"/>
          </w:tcPr>
          <w:p w:rsidR="00065F30" w:rsidRPr="00A57033" w:rsidRDefault="0001005E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1559" w:type="dxa"/>
            <w:vAlign w:val="center"/>
          </w:tcPr>
          <w:p w:rsidR="00065F30" w:rsidRPr="00A57033" w:rsidRDefault="0001005E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1559" w:type="dxa"/>
            <w:vAlign w:val="center"/>
          </w:tcPr>
          <w:p w:rsidR="00065F30" w:rsidRPr="00A57033" w:rsidRDefault="00631A31" w:rsidP="00631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65F30" w:rsidRPr="00A57033" w:rsidTr="0001005E">
        <w:trPr>
          <w:trHeight w:val="447"/>
        </w:trPr>
        <w:tc>
          <w:tcPr>
            <w:tcW w:w="4503" w:type="dxa"/>
            <w:vAlign w:val="center"/>
          </w:tcPr>
          <w:p w:rsidR="00065F30" w:rsidRPr="005D1C13" w:rsidRDefault="003B4B02" w:rsidP="00785733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126" w:type="dxa"/>
            <w:vAlign w:val="center"/>
          </w:tcPr>
          <w:p w:rsidR="00065F30" w:rsidRPr="005D1C13" w:rsidRDefault="0001005E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1 052 512,2</w:t>
            </w:r>
          </w:p>
        </w:tc>
        <w:tc>
          <w:tcPr>
            <w:tcW w:w="1559" w:type="dxa"/>
            <w:vAlign w:val="center"/>
          </w:tcPr>
          <w:p w:rsidR="00065F30" w:rsidRPr="005D1C13" w:rsidRDefault="00631A31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1 033 875,5</w:t>
            </w:r>
          </w:p>
        </w:tc>
        <w:tc>
          <w:tcPr>
            <w:tcW w:w="1559" w:type="dxa"/>
            <w:vAlign w:val="center"/>
          </w:tcPr>
          <w:p w:rsidR="00065F30" w:rsidRPr="005D1C13" w:rsidRDefault="00631A31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6C2B10" w:rsidRDefault="00CD4977" w:rsidP="00655CB7">
      <w:pPr>
        <w:autoSpaceDE w:val="0"/>
        <w:autoSpaceDN w:val="0"/>
        <w:adjustRightInd w:val="0"/>
        <w:ind w:firstLine="709"/>
        <w:jc w:val="both"/>
      </w:pPr>
      <w:r w:rsidRPr="0039713E">
        <w:t>Из</w:t>
      </w:r>
      <w:r w:rsidR="00A37214" w:rsidRPr="0039713E">
        <w:t xml:space="preserve"> таблицы № </w:t>
      </w:r>
      <w:r w:rsidR="00631A31">
        <w:t>4</w:t>
      </w:r>
      <w:r w:rsidR="00A37214" w:rsidRPr="0039713E">
        <w:t xml:space="preserve"> видно, что расходы</w:t>
      </w:r>
      <w:r w:rsidRPr="0039713E">
        <w:t xml:space="preserve">  местного бюджета </w:t>
      </w:r>
      <w:r w:rsidR="00631A31">
        <w:t>за 2018 год</w:t>
      </w:r>
      <w:r w:rsidRPr="0039713E">
        <w:t xml:space="preserve"> исполнены  на </w:t>
      </w:r>
      <w:r w:rsidR="00631A31">
        <w:t>98,2</w:t>
      </w:r>
      <w:r w:rsidRPr="0039713E">
        <w:t xml:space="preserve">% от утвержденного объема назначений, что в сумме составляет </w:t>
      </w:r>
      <w:r w:rsidR="00631A31">
        <w:t>1 033 875,5</w:t>
      </w:r>
      <w:r w:rsidRPr="0039713E">
        <w:t xml:space="preserve"> </w:t>
      </w:r>
      <w:proofErr w:type="spellStart"/>
      <w:r w:rsidRPr="0039713E">
        <w:t>тыс</w:t>
      </w:r>
      <w:proofErr w:type="gramStart"/>
      <w:r w:rsidRPr="0039713E">
        <w:t>.р</w:t>
      </w:r>
      <w:proofErr w:type="gramEnd"/>
      <w:r w:rsidRPr="0039713E">
        <w:t>уб</w:t>
      </w:r>
      <w:proofErr w:type="spellEnd"/>
      <w:r w:rsidRPr="0039713E">
        <w:t>.</w:t>
      </w:r>
      <w:r w:rsidR="00631A31">
        <w:t xml:space="preserve"> </w:t>
      </w:r>
    </w:p>
    <w:p w:rsidR="00E14702" w:rsidRDefault="000933B8" w:rsidP="006C2B10">
      <w:pPr>
        <w:autoSpaceDE w:val="0"/>
        <w:autoSpaceDN w:val="0"/>
        <w:adjustRightInd w:val="0"/>
        <w:ind w:firstLine="709"/>
        <w:jc w:val="both"/>
      </w:pPr>
      <w:r w:rsidRPr="000933B8">
        <w:t>Наибольшее исполнение сложилось по разделу «Обслуживание государственного и муниципального долга» - 100%, по разделу «Национальная безопасность и правоохранительная деятельность» -  99,6%, наименьшее исполнение сложилось по разделу «Здравоохранение» - 84,6% .</w:t>
      </w:r>
    </w:p>
    <w:p w:rsidR="000933B8" w:rsidRDefault="000933B8" w:rsidP="006C2B10">
      <w:pPr>
        <w:autoSpaceDE w:val="0"/>
        <w:autoSpaceDN w:val="0"/>
        <w:adjustRightInd w:val="0"/>
        <w:ind w:firstLine="709"/>
        <w:jc w:val="both"/>
      </w:pPr>
    </w:p>
    <w:p w:rsidR="006C2B10" w:rsidRDefault="00E14702" w:rsidP="006C2B10">
      <w:pPr>
        <w:autoSpaceDE w:val="0"/>
        <w:autoSpaceDN w:val="0"/>
        <w:adjustRightInd w:val="0"/>
        <w:ind w:firstLine="709"/>
        <w:jc w:val="both"/>
      </w:pPr>
      <w:r>
        <w:t>При анализе расходов бюджета п</w:t>
      </w:r>
      <w:r w:rsidR="006C2B10">
        <w:t xml:space="preserve">о разделам и подразделам в целом наблюдается исполнение расходных обязательств в пределах от 95 до 100%, однако имеются  классификации расходов </w:t>
      </w:r>
      <w:proofErr w:type="gramStart"/>
      <w:r w:rsidR="006C2B10">
        <w:t>бюджета</w:t>
      </w:r>
      <w:proofErr w:type="gramEnd"/>
      <w:r w:rsidR="006C2B10">
        <w:t xml:space="preserve"> по которым  процент исполнения менее 95%, так:</w:t>
      </w:r>
    </w:p>
    <w:p w:rsidR="00E14702" w:rsidRDefault="00E14702" w:rsidP="006C2B10">
      <w:pPr>
        <w:autoSpaceDE w:val="0"/>
        <w:autoSpaceDN w:val="0"/>
        <w:adjustRightInd w:val="0"/>
        <w:ind w:firstLine="709"/>
        <w:jc w:val="both"/>
      </w:pPr>
      <w:r>
        <w:t>-  0105 «Судебная система» - 0% (отсутствие потребности в данных средствах);</w:t>
      </w:r>
    </w:p>
    <w:p w:rsidR="00E14702" w:rsidRDefault="00E14702" w:rsidP="006C2B10">
      <w:pPr>
        <w:autoSpaceDE w:val="0"/>
        <w:autoSpaceDN w:val="0"/>
        <w:adjustRightInd w:val="0"/>
        <w:ind w:firstLine="709"/>
        <w:jc w:val="both"/>
      </w:pPr>
      <w:r>
        <w:t>-  0106 «Обеспечение деятельности финансовых, налоговых и таможенных органов и органов финансового (финансово-бюджетного) надзора»  - 87,8% (экономия по выплате заработной платы, в связи с длительным периодом временной нетрудоспособности);</w:t>
      </w:r>
    </w:p>
    <w:p w:rsidR="000A2FA8" w:rsidRDefault="000A2FA8" w:rsidP="006C2B10">
      <w:pPr>
        <w:autoSpaceDE w:val="0"/>
        <w:autoSpaceDN w:val="0"/>
        <w:adjustRightInd w:val="0"/>
        <w:ind w:firstLine="709"/>
        <w:jc w:val="both"/>
      </w:pPr>
      <w:r>
        <w:t>- 0406 «Водное хозяйство» -0% (нарушение подрядными организациями сроков исполнения и иных условий контрактов, не повлекшее судебные процедуры);</w:t>
      </w:r>
    </w:p>
    <w:p w:rsidR="000A2FA8" w:rsidRDefault="000A2FA8" w:rsidP="006C2B10">
      <w:pPr>
        <w:autoSpaceDE w:val="0"/>
        <w:autoSpaceDN w:val="0"/>
        <w:adjustRightInd w:val="0"/>
        <w:ind w:firstLine="709"/>
        <w:jc w:val="both"/>
      </w:pPr>
      <w:r>
        <w:t>- 0412 «Другие вопросы в области национальной экономики» - 74,3% (заявительный характер субсидирования организаций, производителей товаров, работ и услуг);</w:t>
      </w:r>
    </w:p>
    <w:p w:rsidR="000A2FA8" w:rsidRDefault="000A2FA8" w:rsidP="00655CB7">
      <w:pPr>
        <w:autoSpaceDE w:val="0"/>
        <w:autoSpaceDN w:val="0"/>
        <w:adjustRightInd w:val="0"/>
        <w:ind w:firstLine="709"/>
        <w:jc w:val="both"/>
      </w:pPr>
      <w:r>
        <w:t xml:space="preserve">- 0502 «Коммунальное хозяйство»  - 93% </w:t>
      </w:r>
      <w:r w:rsidRPr="000A2FA8">
        <w:t>(нарушение подрядными организациями сроков исполнения и иных условий контрактов, не повлекшее судебные процедуры);</w:t>
      </w:r>
    </w:p>
    <w:p w:rsidR="000A2FA8" w:rsidRDefault="000A2FA8" w:rsidP="00655CB7">
      <w:pPr>
        <w:autoSpaceDE w:val="0"/>
        <w:autoSpaceDN w:val="0"/>
        <w:adjustRightInd w:val="0"/>
        <w:ind w:firstLine="709"/>
        <w:jc w:val="both"/>
      </w:pPr>
      <w:r>
        <w:t>- 0705 «</w:t>
      </w:r>
      <w:r w:rsidRPr="000A2FA8">
        <w:t>Профессиональная подготовка, переподготовка и повышение квалификации</w:t>
      </w:r>
      <w:r>
        <w:t>» - 90,8% (оплата работ «по факту» на основании актов выполненных работ);</w:t>
      </w:r>
    </w:p>
    <w:p w:rsidR="000A2FA8" w:rsidRDefault="000A2FA8" w:rsidP="00655CB7">
      <w:pPr>
        <w:autoSpaceDE w:val="0"/>
        <w:autoSpaceDN w:val="0"/>
        <w:adjustRightInd w:val="0"/>
        <w:ind w:firstLine="709"/>
        <w:jc w:val="both"/>
      </w:pPr>
      <w:r>
        <w:t>-0909 «Другие вопросы в области здравоохранения» - 84,6% (отсутствие в потребности в данных средствах);</w:t>
      </w:r>
    </w:p>
    <w:p w:rsidR="000A2FA8" w:rsidRDefault="000933B8" w:rsidP="00655CB7">
      <w:pPr>
        <w:autoSpaceDE w:val="0"/>
        <w:autoSpaceDN w:val="0"/>
        <w:adjustRightInd w:val="0"/>
        <w:ind w:firstLine="709"/>
        <w:jc w:val="both"/>
      </w:pPr>
      <w:r>
        <w:t>-</w:t>
      </w:r>
      <w:r w:rsidR="000A2FA8">
        <w:t xml:space="preserve">1001 «Охрана семьи и детства» -85% (уменьшение численности получателей выплат, пособий и компенсаций по сравнению </w:t>
      </w:r>
      <w:proofErr w:type="gramStart"/>
      <w:r w:rsidR="000A2FA8">
        <w:t>с</w:t>
      </w:r>
      <w:proofErr w:type="gramEnd"/>
      <w:r w:rsidR="000A2FA8">
        <w:t xml:space="preserve"> заплан</w:t>
      </w:r>
      <w:r>
        <w:t>и</w:t>
      </w:r>
      <w:r w:rsidR="000A2FA8">
        <w:t>рованной).</w:t>
      </w:r>
    </w:p>
    <w:p w:rsidR="005F7CDC" w:rsidRPr="0039713E" w:rsidRDefault="005F7CDC" w:rsidP="00772F62">
      <w:pPr>
        <w:jc w:val="both"/>
      </w:pPr>
    </w:p>
    <w:p w:rsidR="00655CB7" w:rsidRPr="0039713E" w:rsidRDefault="00F6017B" w:rsidP="00655CB7">
      <w:pPr>
        <w:autoSpaceDE w:val="0"/>
        <w:autoSpaceDN w:val="0"/>
        <w:adjustRightInd w:val="0"/>
        <w:ind w:firstLine="709"/>
        <w:jc w:val="both"/>
      </w:pPr>
      <w:proofErr w:type="gramStart"/>
      <w:r w:rsidRPr="0039713E">
        <w:t>Поскольку расходы местного бюджета</w:t>
      </w:r>
      <w:r w:rsidR="005F7CDC" w:rsidRPr="0039713E">
        <w:t xml:space="preserve"> на</w:t>
      </w:r>
      <w:r w:rsidR="00406BC7">
        <w:t xml:space="preserve"> </w:t>
      </w:r>
      <w:r w:rsidR="005F7CDC" w:rsidRPr="0039713E">
        <w:t>2018 год</w:t>
      </w:r>
      <w:r w:rsidR="00406BC7">
        <w:t xml:space="preserve"> </w:t>
      </w:r>
      <w:r w:rsidRPr="0039713E">
        <w:t xml:space="preserve">сформированы </w:t>
      </w:r>
      <w:r w:rsidR="005F7CDC" w:rsidRPr="0039713E">
        <w:t xml:space="preserve"> по программно-целевому принципу</w:t>
      </w:r>
      <w:r w:rsidR="008A1B1B" w:rsidRPr="0039713E">
        <w:t xml:space="preserve">, </w:t>
      </w:r>
      <w:r w:rsidR="005F7CDC" w:rsidRPr="0039713E">
        <w:t xml:space="preserve"> на основе 16 муниципальных программ,</w:t>
      </w:r>
      <w:r w:rsidR="0009405E" w:rsidRPr="0039713E">
        <w:t xml:space="preserve"> то основная</w:t>
      </w:r>
      <w:r w:rsidRPr="0039713E">
        <w:t xml:space="preserve"> доля расходов местного бюджета направлена на выполнение муниципальных программ</w:t>
      </w:r>
      <w:r w:rsidR="0047566C" w:rsidRPr="0039713E">
        <w:t xml:space="preserve"> города Тулуна</w:t>
      </w:r>
      <w:r w:rsidRPr="0039713E">
        <w:t xml:space="preserve">, которая составляет </w:t>
      </w:r>
      <w:r w:rsidR="0047566C" w:rsidRPr="0039713E">
        <w:t>89% в</w:t>
      </w:r>
      <w:r w:rsidRPr="0039713E">
        <w:t xml:space="preserve"> общих</w:t>
      </w:r>
      <w:r w:rsidR="00682E3D" w:rsidRPr="0039713E">
        <w:t>,</w:t>
      </w:r>
      <w:r w:rsidR="00406BC7">
        <w:t xml:space="preserve"> </w:t>
      </w:r>
      <w:r w:rsidR="0047566C" w:rsidRPr="0039713E">
        <w:t>утвержденных расходах местного бюджета, соответственно непрограммные расходы составляют 11% в общих</w:t>
      </w:r>
      <w:r w:rsidR="00682E3D" w:rsidRPr="0039713E">
        <w:t>,</w:t>
      </w:r>
      <w:r w:rsidR="0047566C" w:rsidRPr="0039713E">
        <w:t xml:space="preserve"> утвержденных расходах местного бюджета</w:t>
      </w:r>
      <w:r w:rsidRPr="0039713E">
        <w:t xml:space="preserve">. </w:t>
      </w:r>
      <w:proofErr w:type="gramEnd"/>
    </w:p>
    <w:p w:rsidR="00EB54AD" w:rsidRPr="0039713E" w:rsidRDefault="00EB54AD" w:rsidP="00655CB7">
      <w:pPr>
        <w:autoSpaceDE w:val="0"/>
        <w:autoSpaceDN w:val="0"/>
        <w:adjustRightInd w:val="0"/>
        <w:ind w:firstLine="709"/>
        <w:jc w:val="both"/>
      </w:pPr>
    </w:p>
    <w:p w:rsidR="00406BC7" w:rsidRPr="000B288D" w:rsidRDefault="005A0F30" w:rsidP="000B288D">
      <w:pPr>
        <w:ind w:firstLine="709"/>
        <w:jc w:val="both"/>
      </w:pPr>
      <w:r w:rsidRPr="0039713E">
        <w:lastRenderedPageBreak/>
        <w:t xml:space="preserve">Анализ исполнения муниципальных программ города </w:t>
      </w:r>
      <w:r w:rsidR="005F7CDC" w:rsidRPr="0039713E">
        <w:t xml:space="preserve">Тулуна </w:t>
      </w:r>
      <w:r w:rsidR="00D943C9" w:rsidRPr="0039713E">
        <w:t xml:space="preserve">и непрограммных расходов </w:t>
      </w:r>
      <w:r w:rsidR="00406BC7">
        <w:t xml:space="preserve">за </w:t>
      </w:r>
      <w:r w:rsidR="008C3DDA" w:rsidRPr="0039713E">
        <w:t xml:space="preserve">2018 год </w:t>
      </w:r>
      <w:r w:rsidR="00D943C9" w:rsidRPr="0039713E">
        <w:t>при</w:t>
      </w:r>
      <w:r w:rsidR="008C3DDA" w:rsidRPr="0039713E">
        <w:t>веден</w:t>
      </w:r>
      <w:r w:rsidR="005F7CDC" w:rsidRPr="0039713E">
        <w:t xml:space="preserve"> в таблице № </w:t>
      </w:r>
      <w:r w:rsidR="00406BC7">
        <w:t>5</w:t>
      </w:r>
      <w:r w:rsidR="005F7CDC" w:rsidRPr="0039713E">
        <w:t>.</w:t>
      </w:r>
    </w:p>
    <w:p w:rsidR="00406BC7" w:rsidRDefault="00406BC7" w:rsidP="005A0F30">
      <w:pPr>
        <w:ind w:firstLine="567"/>
        <w:jc w:val="right"/>
        <w:rPr>
          <w:b/>
          <w:sz w:val="20"/>
          <w:szCs w:val="20"/>
        </w:rPr>
      </w:pPr>
    </w:p>
    <w:p w:rsidR="005A0F30" w:rsidRPr="005F7CDC" w:rsidRDefault="005F7CDC" w:rsidP="005A0F30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№ </w:t>
      </w:r>
      <w:r w:rsidR="00406BC7">
        <w:rPr>
          <w:b/>
          <w:sz w:val="20"/>
          <w:szCs w:val="20"/>
        </w:rPr>
        <w:t>5</w:t>
      </w:r>
      <w:r w:rsidR="005A0F30" w:rsidRPr="005F7CDC">
        <w:rPr>
          <w:b/>
          <w:sz w:val="20"/>
          <w:szCs w:val="20"/>
        </w:rPr>
        <w:t xml:space="preserve"> (</w:t>
      </w:r>
      <w:proofErr w:type="spellStart"/>
      <w:r w:rsidR="005A0F30" w:rsidRPr="005F7CDC">
        <w:rPr>
          <w:b/>
          <w:sz w:val="20"/>
          <w:szCs w:val="20"/>
        </w:rPr>
        <w:t>тыс</w:t>
      </w:r>
      <w:proofErr w:type="gramStart"/>
      <w:r w:rsidR="005A0F30" w:rsidRPr="005F7CDC">
        <w:rPr>
          <w:b/>
          <w:sz w:val="20"/>
          <w:szCs w:val="20"/>
        </w:rPr>
        <w:t>.р</w:t>
      </w:r>
      <w:proofErr w:type="gramEnd"/>
      <w:r w:rsidR="005A0F30" w:rsidRPr="005F7CDC">
        <w:rPr>
          <w:b/>
          <w:sz w:val="20"/>
          <w:szCs w:val="20"/>
        </w:rPr>
        <w:t>уб</w:t>
      </w:r>
      <w:proofErr w:type="spellEnd"/>
      <w:r w:rsidRPr="005F7CDC">
        <w:rPr>
          <w:b/>
          <w:sz w:val="20"/>
          <w:szCs w:val="20"/>
        </w:rPr>
        <w:t>.</w:t>
      </w:r>
      <w:r w:rsidR="005A0F30" w:rsidRPr="005F7CDC">
        <w:rPr>
          <w:b/>
          <w:sz w:val="20"/>
          <w:szCs w:val="20"/>
        </w:rPr>
        <w:t>)</w:t>
      </w: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64"/>
        <w:gridCol w:w="1390"/>
        <w:gridCol w:w="1181"/>
        <w:gridCol w:w="1200"/>
      </w:tblGrid>
      <w:tr w:rsidR="0052223D" w:rsidRPr="00A57033" w:rsidTr="00406BC7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  <w:r w:rsidRPr="00EB54AD">
              <w:rPr>
                <w:b/>
                <w:sz w:val="18"/>
                <w:szCs w:val="18"/>
              </w:rPr>
              <w:t>Наим</w:t>
            </w:r>
            <w:r>
              <w:rPr>
                <w:b/>
                <w:sz w:val="18"/>
                <w:szCs w:val="18"/>
              </w:rPr>
              <w:t>енование показателя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52223D" w:rsidRPr="00EB54AD" w:rsidRDefault="00406BC7" w:rsidP="008A1B1B">
            <w:pPr>
              <w:jc w:val="center"/>
              <w:rPr>
                <w:b/>
                <w:sz w:val="18"/>
                <w:szCs w:val="18"/>
              </w:rPr>
            </w:pPr>
            <w:r w:rsidRPr="00406BC7">
              <w:rPr>
                <w:sz w:val="18"/>
                <w:szCs w:val="18"/>
                <w:lang w:eastAsia="en-US"/>
              </w:rPr>
              <w:t>Утверждено решением Думы городского округа №39-ДГО от 26.12.2017г (с учетом изменений внесенных решением Думы городского округа №29-ДГО от 27.12.2018г)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52223D" w:rsidRPr="00A63A90" w:rsidRDefault="0052223D" w:rsidP="00EB54AD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52223D" w:rsidRPr="00EB54AD" w:rsidRDefault="0052223D" w:rsidP="00AB55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2223D" w:rsidRPr="006A1F86" w:rsidRDefault="0052223D" w:rsidP="00AB5549">
            <w:pPr>
              <w:jc w:val="center"/>
              <w:rPr>
                <w:sz w:val="18"/>
                <w:szCs w:val="18"/>
              </w:rPr>
            </w:pPr>
            <w:r w:rsidRPr="006A1F86">
              <w:rPr>
                <w:sz w:val="18"/>
                <w:szCs w:val="18"/>
              </w:rPr>
              <w:t>% исполнения</w:t>
            </w:r>
          </w:p>
        </w:tc>
        <w:tc>
          <w:tcPr>
            <w:tcW w:w="1200" w:type="dxa"/>
          </w:tcPr>
          <w:p w:rsidR="008D5264" w:rsidRDefault="00D92A7A" w:rsidP="00AB5549">
            <w:pPr>
              <w:jc w:val="center"/>
              <w:rPr>
                <w:sz w:val="18"/>
                <w:szCs w:val="18"/>
              </w:rPr>
            </w:pPr>
            <w:r w:rsidRPr="00D92A7A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в фактических расходах, </w:t>
            </w:r>
          </w:p>
          <w:p w:rsidR="0052223D" w:rsidRPr="00D92A7A" w:rsidRDefault="00D92A7A" w:rsidP="00AB5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</w:tr>
      <w:tr w:rsidR="0052223D" w:rsidRPr="00A57033" w:rsidTr="00406BC7">
        <w:trPr>
          <w:trHeight w:val="900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 xml:space="preserve">Муниципальная программа города Тулуна «Совершенствование механизмов экономического </w:t>
            </w:r>
          </w:p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развития муниципального образования – «город Тулун»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5 010,8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4 593,6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2223D" w:rsidRPr="00A57033" w:rsidTr="00406BC7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«Труд»</w:t>
            </w:r>
          </w:p>
        </w:tc>
        <w:tc>
          <w:tcPr>
            <w:tcW w:w="1864" w:type="dxa"/>
            <w:shd w:val="clear" w:color="auto" w:fill="auto"/>
          </w:tcPr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670,6</w:t>
            </w:r>
          </w:p>
        </w:tc>
        <w:tc>
          <w:tcPr>
            <w:tcW w:w="1390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669,8</w:t>
            </w:r>
          </w:p>
        </w:tc>
        <w:tc>
          <w:tcPr>
            <w:tcW w:w="1181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00" w:type="dxa"/>
          </w:tcPr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52223D" w:rsidRPr="00A57033" w:rsidTr="00406BC7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«Образование»</w:t>
            </w:r>
          </w:p>
        </w:tc>
        <w:tc>
          <w:tcPr>
            <w:tcW w:w="1864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665 862,3</w:t>
            </w:r>
          </w:p>
        </w:tc>
        <w:tc>
          <w:tcPr>
            <w:tcW w:w="1390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658 173,4</w:t>
            </w:r>
          </w:p>
        </w:tc>
        <w:tc>
          <w:tcPr>
            <w:tcW w:w="1181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200" w:type="dxa"/>
          </w:tcPr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</w:tr>
      <w:tr w:rsidR="0052223D" w:rsidRPr="00A57033" w:rsidTr="00406BC7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«Культура»</w:t>
            </w:r>
          </w:p>
        </w:tc>
        <w:tc>
          <w:tcPr>
            <w:tcW w:w="1864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52 024,4</w:t>
            </w:r>
          </w:p>
        </w:tc>
        <w:tc>
          <w:tcPr>
            <w:tcW w:w="1390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50 885,0</w:t>
            </w:r>
          </w:p>
        </w:tc>
        <w:tc>
          <w:tcPr>
            <w:tcW w:w="1181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200" w:type="dxa"/>
          </w:tcPr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52223D" w:rsidRPr="00A57033" w:rsidTr="00406BC7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«Молодежь»</w:t>
            </w:r>
          </w:p>
        </w:tc>
        <w:tc>
          <w:tcPr>
            <w:tcW w:w="1864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1390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589,4</w:t>
            </w:r>
          </w:p>
        </w:tc>
        <w:tc>
          <w:tcPr>
            <w:tcW w:w="1181" w:type="dxa"/>
            <w:shd w:val="clear" w:color="auto" w:fill="auto"/>
          </w:tcPr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200" w:type="dxa"/>
          </w:tcPr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52223D" w:rsidRPr="00A57033" w:rsidTr="00406BC7">
        <w:trPr>
          <w:trHeight w:val="436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«Доступное жилье»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4 186,0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4 185,9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2223D" w:rsidRPr="00A57033" w:rsidTr="00406BC7">
        <w:trPr>
          <w:trHeight w:val="387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27 128,7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26 734,9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52223D" w:rsidRPr="00A57033" w:rsidTr="00406BC7">
        <w:trPr>
          <w:trHeight w:val="337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983,9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770,6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52223D" w:rsidRPr="00A57033" w:rsidTr="00406BC7">
        <w:trPr>
          <w:trHeight w:val="448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1 443,3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1 115,2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52223D" w:rsidRPr="00A57033" w:rsidTr="00406BC7">
        <w:trPr>
          <w:trHeight w:val="684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55 140,2</w:t>
            </w:r>
          </w:p>
          <w:p w:rsidR="0052223D" w:rsidRPr="00E344BA" w:rsidRDefault="0052223D" w:rsidP="00AB5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52 296,4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223D" w:rsidRPr="00A57033" w:rsidTr="00406BC7">
        <w:trPr>
          <w:trHeight w:val="403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2 664,9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2 664,9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D92A7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2223D" w:rsidRPr="00A57033" w:rsidTr="00406BC7">
        <w:trPr>
          <w:trHeight w:val="366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44 452,5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41 923,4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52223D" w:rsidRPr="00A57033" w:rsidTr="00406BC7">
        <w:trPr>
          <w:trHeight w:val="458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10 695,8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10 224,8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2223D" w:rsidRPr="00A57033" w:rsidTr="00406BC7">
        <w:trPr>
          <w:trHeight w:val="408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«Городские дороги»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40 902,8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40 885,5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2223D" w:rsidRPr="00A57033" w:rsidTr="00406BC7">
        <w:trPr>
          <w:trHeight w:val="359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«Градостроительство»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853,4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2223D" w:rsidRPr="00A57033" w:rsidTr="00406BC7">
        <w:trPr>
          <w:trHeight w:val="465"/>
        </w:trPr>
        <w:tc>
          <w:tcPr>
            <w:tcW w:w="3984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sz w:val="18"/>
                <w:szCs w:val="18"/>
              </w:rPr>
            </w:pPr>
            <w:r w:rsidRPr="001E5E46">
              <w:rPr>
                <w:sz w:val="18"/>
                <w:szCs w:val="18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23 630,7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23 529,6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52223D" w:rsidRDefault="000F06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52223D" w:rsidRPr="00A57033" w:rsidTr="00406BC7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 w:rsidRPr="001E5E4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муниципальные программы</w:t>
            </w:r>
            <w:r w:rsidRPr="001E5E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936 250,1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919 645,8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52223D" w:rsidRPr="00E344BA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D92A7A" w:rsidRDefault="0089770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88,9</w:t>
            </w:r>
          </w:p>
        </w:tc>
      </w:tr>
      <w:tr w:rsidR="0052223D" w:rsidRPr="00A57033" w:rsidTr="00406BC7">
        <w:trPr>
          <w:trHeight w:val="249"/>
        </w:trPr>
        <w:tc>
          <w:tcPr>
            <w:tcW w:w="3984" w:type="dxa"/>
            <w:shd w:val="clear" w:color="auto" w:fill="auto"/>
            <w:vAlign w:val="bottom"/>
          </w:tcPr>
          <w:p w:rsidR="0052223D" w:rsidRPr="001E5E46" w:rsidRDefault="0052223D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864" w:type="dxa"/>
            <w:shd w:val="clear" w:color="auto" w:fill="auto"/>
          </w:tcPr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116 262,1</w:t>
            </w:r>
          </w:p>
        </w:tc>
        <w:tc>
          <w:tcPr>
            <w:tcW w:w="1390" w:type="dxa"/>
            <w:shd w:val="clear" w:color="auto" w:fill="auto"/>
          </w:tcPr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114 229,7</w:t>
            </w:r>
          </w:p>
        </w:tc>
        <w:tc>
          <w:tcPr>
            <w:tcW w:w="1181" w:type="dxa"/>
            <w:shd w:val="clear" w:color="auto" w:fill="auto"/>
          </w:tcPr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  <w:tc>
          <w:tcPr>
            <w:tcW w:w="1200" w:type="dxa"/>
          </w:tcPr>
          <w:p w:rsidR="0052223D" w:rsidRDefault="00897701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 w:rsidR="0052223D" w:rsidRPr="00A57033" w:rsidTr="00406BC7">
        <w:trPr>
          <w:trHeight w:val="511"/>
        </w:trPr>
        <w:tc>
          <w:tcPr>
            <w:tcW w:w="3984" w:type="dxa"/>
            <w:shd w:val="clear" w:color="auto" w:fill="auto"/>
            <w:vAlign w:val="center"/>
          </w:tcPr>
          <w:p w:rsidR="0052223D" w:rsidRPr="005D1C13" w:rsidRDefault="0052223D" w:rsidP="00AA0BAB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864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1 052 512,2</w:t>
            </w:r>
          </w:p>
        </w:tc>
        <w:tc>
          <w:tcPr>
            <w:tcW w:w="1390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1 033 875,5</w:t>
            </w:r>
          </w:p>
        </w:tc>
        <w:tc>
          <w:tcPr>
            <w:tcW w:w="1181" w:type="dxa"/>
            <w:shd w:val="clear" w:color="auto" w:fill="auto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52223D" w:rsidRDefault="000F061C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  <w:tc>
          <w:tcPr>
            <w:tcW w:w="1200" w:type="dxa"/>
          </w:tcPr>
          <w:p w:rsidR="0052223D" w:rsidRDefault="0052223D" w:rsidP="00AB5549">
            <w:pPr>
              <w:jc w:val="center"/>
              <w:rPr>
                <w:b/>
                <w:sz w:val="22"/>
                <w:szCs w:val="22"/>
              </w:rPr>
            </w:pPr>
          </w:p>
          <w:p w:rsidR="00D92A7A" w:rsidRDefault="00897701" w:rsidP="00AB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</w:tbl>
    <w:p w:rsidR="0047566C" w:rsidRDefault="0047566C" w:rsidP="0089377F">
      <w:pPr>
        <w:ind w:firstLine="567"/>
        <w:jc w:val="both"/>
      </w:pPr>
    </w:p>
    <w:p w:rsidR="0047566C" w:rsidRPr="0039713E" w:rsidRDefault="00897701" w:rsidP="0047566C">
      <w:pPr>
        <w:ind w:firstLine="709"/>
        <w:jc w:val="both"/>
      </w:pPr>
      <w:r>
        <w:t>Из таблицы № 5</w:t>
      </w:r>
      <w:r w:rsidR="0047566C" w:rsidRPr="0039713E">
        <w:t xml:space="preserve"> видно, что муниципальные программы города Тулуна </w:t>
      </w:r>
      <w:r>
        <w:t>за 2018 год</w:t>
      </w:r>
      <w:r w:rsidR="001736D6" w:rsidRPr="0039713E">
        <w:t xml:space="preserve"> исполнены на </w:t>
      </w:r>
      <w:r>
        <w:t>98,2</w:t>
      </w:r>
      <w:r w:rsidR="003134F6">
        <w:t xml:space="preserve">%  и составляют в сумме </w:t>
      </w:r>
      <w:r>
        <w:t xml:space="preserve">919 645,8 </w:t>
      </w:r>
      <w:proofErr w:type="spellStart"/>
      <w:r w:rsidR="001736D6" w:rsidRPr="0039713E">
        <w:t>тыс</w:t>
      </w:r>
      <w:proofErr w:type="gramStart"/>
      <w:r w:rsidR="001736D6" w:rsidRPr="0039713E">
        <w:t>.р</w:t>
      </w:r>
      <w:proofErr w:type="gramEnd"/>
      <w:r w:rsidR="001736D6" w:rsidRPr="0039713E">
        <w:t>уб</w:t>
      </w:r>
      <w:proofErr w:type="spellEnd"/>
      <w:r w:rsidR="0047566C" w:rsidRPr="0039713E">
        <w:t xml:space="preserve">. </w:t>
      </w:r>
    </w:p>
    <w:p w:rsidR="0022671D" w:rsidRDefault="00473C69" w:rsidP="0089377F">
      <w:pPr>
        <w:ind w:firstLine="567"/>
        <w:jc w:val="both"/>
      </w:pPr>
      <w:r w:rsidRPr="0039713E">
        <w:t>Исполнение по н</w:t>
      </w:r>
      <w:r w:rsidR="00731195" w:rsidRPr="0039713E">
        <w:t>е</w:t>
      </w:r>
      <w:r w:rsidRPr="0039713E">
        <w:t>программным</w:t>
      </w:r>
      <w:r w:rsidR="00B31E2C">
        <w:t xml:space="preserve"> расходам</w:t>
      </w:r>
      <w:r w:rsidR="00D14DBF" w:rsidRPr="0039713E">
        <w:t xml:space="preserve"> за </w:t>
      </w:r>
      <w:r w:rsidR="00731195" w:rsidRPr="0039713E">
        <w:t xml:space="preserve">2018 год </w:t>
      </w:r>
      <w:r w:rsidR="00FD6AD6" w:rsidRPr="0039713E">
        <w:t>составил</w:t>
      </w:r>
      <w:r w:rsidR="00B31E2C">
        <w:t>о</w:t>
      </w:r>
      <w:r w:rsidR="00D14DBF" w:rsidRPr="0039713E">
        <w:t xml:space="preserve"> </w:t>
      </w:r>
      <w:r w:rsidR="00B31E2C">
        <w:t xml:space="preserve">114 229,7 </w:t>
      </w:r>
      <w:proofErr w:type="spellStart"/>
      <w:r w:rsidR="00731195" w:rsidRPr="0039713E">
        <w:t>тыс</w:t>
      </w:r>
      <w:proofErr w:type="gramStart"/>
      <w:r w:rsidR="00731195" w:rsidRPr="0039713E">
        <w:t>.р</w:t>
      </w:r>
      <w:proofErr w:type="gramEnd"/>
      <w:r w:rsidR="00731195" w:rsidRPr="0039713E">
        <w:t>уб</w:t>
      </w:r>
      <w:proofErr w:type="spellEnd"/>
      <w:r w:rsidR="00731195" w:rsidRPr="0039713E">
        <w:t>.</w:t>
      </w:r>
      <w:r w:rsidR="00D14DBF" w:rsidRPr="0039713E">
        <w:t xml:space="preserve"> или </w:t>
      </w:r>
      <w:r w:rsidR="00B31E2C">
        <w:t>98,3</w:t>
      </w:r>
      <w:r w:rsidR="00FD6AD6" w:rsidRPr="0039713E">
        <w:t>% от</w:t>
      </w:r>
      <w:r w:rsidR="00D14DBF" w:rsidRPr="0039713E">
        <w:t xml:space="preserve">  утвержденного объема назначений.</w:t>
      </w:r>
    </w:p>
    <w:p w:rsidR="00E91F29" w:rsidRDefault="00E91F29" w:rsidP="0089377F">
      <w:pPr>
        <w:ind w:firstLine="567"/>
        <w:jc w:val="both"/>
      </w:pPr>
    </w:p>
    <w:p w:rsidR="00E91F29" w:rsidRDefault="00E91F29" w:rsidP="0089377F">
      <w:pPr>
        <w:ind w:firstLine="567"/>
        <w:jc w:val="both"/>
      </w:pPr>
    </w:p>
    <w:p w:rsidR="00E91F29" w:rsidRDefault="00E91F29" w:rsidP="0089377F">
      <w:pPr>
        <w:ind w:firstLine="567"/>
        <w:jc w:val="both"/>
      </w:pPr>
    </w:p>
    <w:p w:rsidR="000933B8" w:rsidRPr="000933B8" w:rsidRDefault="000933B8" w:rsidP="00BE454D">
      <w:pPr>
        <w:ind w:right="-5"/>
        <w:rPr>
          <w:rFonts w:cs="Arial"/>
        </w:rPr>
      </w:pP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 xml:space="preserve">4.3 </w:t>
      </w:r>
      <w:r w:rsidRPr="0039713E">
        <w:rPr>
          <w:b/>
          <w:bCs/>
        </w:rPr>
        <w:t>.</w:t>
      </w:r>
      <w:r w:rsidR="00772F62">
        <w:rPr>
          <w:b/>
          <w:bCs/>
        </w:rPr>
        <w:t xml:space="preserve"> Показатели</w:t>
      </w:r>
      <w:r w:rsidRPr="0039713E">
        <w:rPr>
          <w:b/>
          <w:bCs/>
        </w:rPr>
        <w:t xml:space="preserve">  источн</w:t>
      </w:r>
      <w:r w:rsidR="00772F62">
        <w:rPr>
          <w:b/>
          <w:bCs/>
        </w:rPr>
        <w:t>иков</w:t>
      </w:r>
      <w:r w:rsidRPr="0039713E">
        <w:rPr>
          <w:b/>
          <w:bCs/>
        </w:rPr>
        <w:t xml:space="preserve"> внутреннего финансирования  дефицита   бюджета</w:t>
      </w: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933B8">
        <w:rPr>
          <w:bCs/>
        </w:rPr>
        <w:t xml:space="preserve">Первоначально   решением о бюджете от 26.12.2017г. № 39-ДГО </w:t>
      </w:r>
      <w:r>
        <w:rPr>
          <w:bCs/>
        </w:rPr>
        <w:t>б</w:t>
      </w:r>
      <w:r w:rsidRPr="0039713E">
        <w:rPr>
          <w:bCs/>
        </w:rPr>
        <w:t>юджет муниципального образования – «город Тулун» на 2018 год  утвержден  с дефицитом в объеме</w:t>
      </w:r>
      <w:r>
        <w:rPr>
          <w:bCs/>
        </w:rPr>
        <w:t xml:space="preserve"> </w:t>
      </w:r>
      <w:r w:rsidRPr="0039713E">
        <w:rPr>
          <w:bCs/>
        </w:rPr>
        <w:t>20</w:t>
      </w:r>
      <w:r w:rsidR="006F271E">
        <w:rPr>
          <w:bCs/>
        </w:rPr>
        <w:t xml:space="preserve"> </w:t>
      </w:r>
      <w:r w:rsidRPr="0039713E">
        <w:rPr>
          <w:bCs/>
        </w:rPr>
        <w:t>241,5</w:t>
      </w:r>
      <w:r>
        <w:rPr>
          <w:bCs/>
        </w:rPr>
        <w:t xml:space="preserve"> </w:t>
      </w:r>
      <w:proofErr w:type="spellStart"/>
      <w:r w:rsidRPr="0039713E">
        <w:rPr>
          <w:bCs/>
        </w:rPr>
        <w:t>тыс</w:t>
      </w:r>
      <w:proofErr w:type="gramStart"/>
      <w:r w:rsidRPr="0039713E">
        <w:rPr>
          <w:bCs/>
        </w:rPr>
        <w:t>.р</w:t>
      </w:r>
      <w:proofErr w:type="gramEnd"/>
      <w:r w:rsidRPr="0039713E">
        <w:rPr>
          <w:bCs/>
        </w:rPr>
        <w:t>уб</w:t>
      </w:r>
      <w:proofErr w:type="spellEnd"/>
      <w:r w:rsidRPr="0039713E">
        <w:rPr>
          <w:bCs/>
        </w:rPr>
        <w:t>.</w:t>
      </w:r>
      <w:r w:rsidR="006F271E">
        <w:rPr>
          <w:bCs/>
        </w:rPr>
        <w:t>, по состоянию на 01.01</w:t>
      </w:r>
      <w:r w:rsidRPr="0039713E">
        <w:rPr>
          <w:bCs/>
        </w:rPr>
        <w:t>.201</w:t>
      </w:r>
      <w:r w:rsidR="006F271E">
        <w:rPr>
          <w:bCs/>
        </w:rPr>
        <w:t>9</w:t>
      </w:r>
      <w:r w:rsidRPr="0039713E">
        <w:rPr>
          <w:bCs/>
        </w:rPr>
        <w:t xml:space="preserve">г. дефицит местного бюджета утвержден в объеме </w:t>
      </w:r>
      <w:r w:rsidR="006F271E">
        <w:rPr>
          <w:bCs/>
        </w:rPr>
        <w:t>18 423,7</w:t>
      </w:r>
      <w:r w:rsidRPr="0039713E">
        <w:rPr>
          <w:bCs/>
        </w:rPr>
        <w:t xml:space="preserve"> </w:t>
      </w:r>
      <w:proofErr w:type="spellStart"/>
      <w:r w:rsidRPr="0039713E">
        <w:rPr>
          <w:bCs/>
        </w:rPr>
        <w:t>тыс.руб</w:t>
      </w:r>
      <w:proofErr w:type="spellEnd"/>
      <w:r w:rsidRPr="0039713E">
        <w:rPr>
          <w:bCs/>
        </w:rPr>
        <w:t>. По данным отчета за 2018 год</w:t>
      </w:r>
      <w:r w:rsidR="006F271E">
        <w:rPr>
          <w:bCs/>
        </w:rPr>
        <w:t xml:space="preserve"> </w:t>
      </w:r>
      <w:r w:rsidRPr="0039713E">
        <w:t xml:space="preserve">местный  бюджет   исполнен </w:t>
      </w:r>
      <w:r w:rsidRPr="0039713E">
        <w:rPr>
          <w:bCs/>
        </w:rPr>
        <w:t>с  профицитом в объеме</w:t>
      </w:r>
      <w:r w:rsidR="006F271E">
        <w:rPr>
          <w:bCs/>
        </w:rPr>
        <w:t xml:space="preserve"> </w:t>
      </w:r>
      <w:r w:rsidR="006F271E">
        <w:t>847,7</w:t>
      </w:r>
      <w:r w:rsidRPr="0039713E">
        <w:rPr>
          <w:bCs/>
        </w:rPr>
        <w:t xml:space="preserve">тыс. руб. </w:t>
      </w: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</w:pPr>
      <w:r w:rsidRPr="0039713E">
        <w:t>Анализ исполнения  бюджета муниципального образования – «город Тулун»  по  источникам внутреннего финансирования дефицита местного  бюджета за 2018</w:t>
      </w:r>
      <w:r w:rsidR="006F271E">
        <w:t xml:space="preserve"> год</w:t>
      </w:r>
      <w:r w:rsidR="00A5404D">
        <w:t xml:space="preserve"> приведен в таблице  № 6</w:t>
      </w:r>
      <w:r>
        <w:t>.</w:t>
      </w:r>
    </w:p>
    <w:p w:rsidR="000933B8" w:rsidRPr="00AA0BAB" w:rsidRDefault="000933B8" w:rsidP="000933B8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№ </w:t>
      </w:r>
      <w:r w:rsidR="006F271E">
        <w:rPr>
          <w:b/>
          <w:sz w:val="20"/>
          <w:szCs w:val="20"/>
        </w:rPr>
        <w:t>6</w:t>
      </w:r>
      <w:r w:rsidRPr="005F7CDC">
        <w:rPr>
          <w:b/>
          <w:sz w:val="20"/>
          <w:szCs w:val="20"/>
        </w:rPr>
        <w:t xml:space="preserve"> 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0933B8" w:rsidRPr="00A57033" w:rsidTr="008A4935">
        <w:tc>
          <w:tcPr>
            <w:tcW w:w="6629" w:type="dxa"/>
            <w:vAlign w:val="center"/>
          </w:tcPr>
          <w:p w:rsidR="000933B8" w:rsidRPr="006D0AFD" w:rsidRDefault="000933B8" w:rsidP="008A4935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933B8" w:rsidRPr="006D0AFD" w:rsidRDefault="000933B8" w:rsidP="008A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559" w:type="dxa"/>
            <w:vAlign w:val="center"/>
          </w:tcPr>
          <w:p w:rsidR="000933B8" w:rsidRPr="006D0AFD" w:rsidRDefault="000933B8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933B8" w:rsidRPr="006D0AFD" w:rsidRDefault="006F271E" w:rsidP="008A49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16 338,7</w:t>
            </w:r>
          </w:p>
        </w:tc>
        <w:tc>
          <w:tcPr>
            <w:tcW w:w="1559" w:type="dxa"/>
            <w:vAlign w:val="center"/>
          </w:tcPr>
          <w:p w:rsidR="000933B8" w:rsidRPr="006D0AFD" w:rsidRDefault="000933B8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0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933B8" w:rsidRPr="006D0AFD" w:rsidRDefault="000933B8" w:rsidP="008A49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- 1 293,0</w:t>
            </w:r>
          </w:p>
        </w:tc>
        <w:tc>
          <w:tcPr>
            <w:tcW w:w="1559" w:type="dxa"/>
            <w:vAlign w:val="center"/>
          </w:tcPr>
          <w:p w:rsidR="000933B8" w:rsidRPr="006D0AFD" w:rsidRDefault="006F271E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-1 293,0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0933B8" w:rsidRPr="006D0AFD" w:rsidRDefault="000933B8" w:rsidP="008A493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3 378,0</w:t>
            </w:r>
          </w:p>
        </w:tc>
        <w:tc>
          <w:tcPr>
            <w:tcW w:w="1559" w:type="dxa"/>
            <w:vAlign w:val="center"/>
          </w:tcPr>
          <w:p w:rsidR="000933B8" w:rsidRPr="006D0AFD" w:rsidRDefault="006F271E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</w:tr>
      <w:tr w:rsidR="000933B8" w:rsidRPr="00A57033" w:rsidTr="008A49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8" w:rsidRPr="006D0AFD" w:rsidRDefault="000933B8" w:rsidP="008A49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8" w:rsidRPr="006D0AFD" w:rsidRDefault="006F271E" w:rsidP="008A49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18 423,7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8" w:rsidRPr="006D0AFD" w:rsidRDefault="006F271E" w:rsidP="008A49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- 847,7</w:t>
            </w:r>
          </w:p>
        </w:tc>
      </w:tr>
    </w:tbl>
    <w:p w:rsidR="000933B8" w:rsidRDefault="000933B8" w:rsidP="000933B8">
      <w:pPr>
        <w:autoSpaceDE w:val="0"/>
        <w:autoSpaceDN w:val="0"/>
        <w:adjustRightInd w:val="0"/>
        <w:ind w:firstLine="708"/>
        <w:jc w:val="both"/>
      </w:pPr>
    </w:p>
    <w:p w:rsidR="00F653E4" w:rsidRDefault="00F653E4" w:rsidP="000933B8">
      <w:pPr>
        <w:autoSpaceDE w:val="0"/>
        <w:autoSpaceDN w:val="0"/>
        <w:adjustRightInd w:val="0"/>
        <w:ind w:firstLine="708"/>
        <w:jc w:val="both"/>
      </w:pPr>
    </w:p>
    <w:p w:rsidR="00F653E4" w:rsidRPr="0039713E" w:rsidRDefault="00F653E4" w:rsidP="00F653E4">
      <w:pPr>
        <w:ind w:right="-5" w:firstLine="567"/>
        <w:jc w:val="center"/>
        <w:rPr>
          <w:b/>
        </w:rPr>
      </w:pPr>
      <w:r w:rsidRPr="0039713E">
        <w:rPr>
          <w:rFonts w:cs="Arial"/>
          <w:b/>
        </w:rPr>
        <w:t>4.</w:t>
      </w:r>
      <w:r>
        <w:rPr>
          <w:rFonts w:cs="Arial"/>
          <w:b/>
        </w:rPr>
        <w:t xml:space="preserve">4. </w:t>
      </w:r>
      <w:r w:rsidRPr="0039713E">
        <w:rPr>
          <w:rFonts w:cs="Arial"/>
          <w:b/>
        </w:rPr>
        <w:t>Анализ состояния муниципального</w:t>
      </w:r>
      <w:r w:rsidRPr="0039713E">
        <w:rPr>
          <w:b/>
        </w:rPr>
        <w:t xml:space="preserve"> долга</w:t>
      </w:r>
    </w:p>
    <w:p w:rsidR="00F653E4" w:rsidRPr="0039713E" w:rsidRDefault="00F653E4" w:rsidP="00F653E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653E4" w:rsidRPr="0039713E" w:rsidRDefault="00F653E4" w:rsidP="00F653E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По состоянию на 01.01</w:t>
      </w:r>
      <w:r w:rsidRPr="0039713E">
        <w:rPr>
          <w:rFonts w:cs="Arial"/>
        </w:rPr>
        <w:t>.201</w:t>
      </w:r>
      <w:r>
        <w:rPr>
          <w:rFonts w:cs="Arial"/>
        </w:rPr>
        <w:t>9</w:t>
      </w:r>
      <w:r w:rsidRPr="0039713E">
        <w:rPr>
          <w:rFonts w:cs="Arial"/>
        </w:rPr>
        <w:t xml:space="preserve"> г. общий объем муниципального долга </w:t>
      </w:r>
      <w:r w:rsidRPr="0039713E">
        <w:t xml:space="preserve">муниципального образования – «город Тулун» </w:t>
      </w:r>
      <w:r>
        <w:rPr>
          <w:rFonts w:cs="Arial"/>
        </w:rPr>
        <w:t>составил</w:t>
      </w:r>
      <w:r w:rsidRPr="0039713E">
        <w:rPr>
          <w:rFonts w:cs="Arial"/>
        </w:rPr>
        <w:t xml:space="preserve"> </w:t>
      </w:r>
      <w:r>
        <w:rPr>
          <w:rFonts w:cs="Arial"/>
        </w:rPr>
        <w:t>24 566,9</w:t>
      </w:r>
      <w:r w:rsidRPr="0039713E">
        <w:rPr>
          <w:rFonts w:cs="Arial"/>
        </w:rPr>
        <w:t xml:space="preserve"> </w:t>
      </w:r>
      <w:proofErr w:type="spellStart"/>
      <w:r w:rsidRPr="0039713E">
        <w:rPr>
          <w:rFonts w:cs="Arial"/>
        </w:rPr>
        <w:t>тыс</w:t>
      </w:r>
      <w:proofErr w:type="gramStart"/>
      <w:r w:rsidRPr="0039713E">
        <w:rPr>
          <w:rFonts w:cs="Arial"/>
        </w:rPr>
        <w:t>.р</w:t>
      </w:r>
      <w:proofErr w:type="gramEnd"/>
      <w:r w:rsidRPr="0039713E">
        <w:rPr>
          <w:rFonts w:cs="Arial"/>
        </w:rPr>
        <w:t>уб</w:t>
      </w:r>
      <w:proofErr w:type="spellEnd"/>
      <w:r w:rsidRPr="0039713E">
        <w:rPr>
          <w:rFonts w:cs="Arial"/>
        </w:rPr>
        <w:t xml:space="preserve">.,  </w:t>
      </w:r>
      <w:r w:rsidRPr="007A469E">
        <w:rPr>
          <w:rFonts w:cs="Arial"/>
        </w:rPr>
        <w:t xml:space="preserve">из них: - 15 201,0 </w:t>
      </w:r>
      <w:proofErr w:type="spellStart"/>
      <w:r w:rsidRPr="007A469E">
        <w:rPr>
          <w:rFonts w:cs="Arial"/>
        </w:rPr>
        <w:t>тыс.руб</w:t>
      </w:r>
      <w:proofErr w:type="spellEnd"/>
      <w:r w:rsidRPr="007A469E">
        <w:rPr>
          <w:rFonts w:cs="Arial"/>
        </w:rPr>
        <w:t xml:space="preserve">. по бюджетному кредиту от 28.02.2014г №4, -  9 365,9 </w:t>
      </w:r>
      <w:proofErr w:type="spellStart"/>
      <w:r w:rsidRPr="007A469E">
        <w:rPr>
          <w:rFonts w:cs="Arial"/>
        </w:rPr>
        <w:t>тыс.руб</w:t>
      </w:r>
      <w:proofErr w:type="spellEnd"/>
      <w:r w:rsidRPr="007A469E">
        <w:rPr>
          <w:rFonts w:cs="Arial"/>
        </w:rPr>
        <w:t>. по бюджетному кредиту от 08.05.2014г №12.</w:t>
      </w:r>
      <w:r w:rsidRPr="0039713E">
        <w:rPr>
          <w:rFonts w:cs="Arial"/>
        </w:rPr>
        <w:t xml:space="preserve"> Увеличение основного муниципального долга произошло </w:t>
      </w:r>
      <w:r w:rsidRPr="0039713E">
        <w:t xml:space="preserve">за счет начисления в </w:t>
      </w:r>
      <w:r>
        <w:t>201</w:t>
      </w:r>
      <w:r w:rsidRPr="0039713E">
        <w:t>8 году</w:t>
      </w:r>
      <w:r>
        <w:t xml:space="preserve"> </w:t>
      </w:r>
      <w:r w:rsidRPr="0039713E">
        <w:t xml:space="preserve">муниципального долга  в объеме 6 691,9 </w:t>
      </w:r>
      <w:proofErr w:type="spellStart"/>
      <w:r w:rsidRPr="0039713E">
        <w:t>тыс</w:t>
      </w:r>
      <w:proofErr w:type="gramStart"/>
      <w:r w:rsidRPr="0039713E">
        <w:t>.р</w:t>
      </w:r>
      <w:proofErr w:type="gramEnd"/>
      <w:r w:rsidRPr="0039713E">
        <w:t>уб</w:t>
      </w:r>
      <w:proofErr w:type="spellEnd"/>
      <w:r w:rsidRPr="0039713E">
        <w:t>. в связи с заключенным дополнительным соглашением о реструктуризации обязательств муниципального образования – «город Тулун» перед Иркутской областью по бюджетным кредитам.</w:t>
      </w:r>
    </w:p>
    <w:p w:rsidR="00F653E4" w:rsidRDefault="00F653E4" w:rsidP="00F653E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графика в 2018 году</w:t>
      </w:r>
      <w:r w:rsidRPr="0039713E">
        <w:rPr>
          <w:rFonts w:cs="Arial"/>
        </w:rPr>
        <w:t xml:space="preserve"> </w:t>
      </w:r>
      <w:r>
        <w:rPr>
          <w:rFonts w:cs="Arial"/>
        </w:rPr>
        <w:t xml:space="preserve">муниципальный долг погашен в размере 1 293,0 </w:t>
      </w:r>
      <w:proofErr w:type="spellStart"/>
      <w:proofErr w:type="gramStart"/>
      <w:r>
        <w:rPr>
          <w:rFonts w:cs="Arial"/>
        </w:rPr>
        <w:t>тыс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руб</w:t>
      </w:r>
      <w:proofErr w:type="spellEnd"/>
      <w:r>
        <w:rPr>
          <w:rFonts w:cs="Arial"/>
        </w:rPr>
        <w:t xml:space="preserve">, что составляет 100% от плановых назначений, затраты </w:t>
      </w:r>
      <w:r w:rsidR="00256E42">
        <w:rPr>
          <w:rFonts w:cs="Arial"/>
        </w:rPr>
        <w:t xml:space="preserve">на </w:t>
      </w:r>
      <w:r>
        <w:rPr>
          <w:rFonts w:cs="Arial"/>
        </w:rPr>
        <w:t xml:space="preserve">обслуживание  муниципального долга составили в размере </w:t>
      </w:r>
      <w:r w:rsidR="00256E42">
        <w:rPr>
          <w:rFonts w:cs="Arial"/>
        </w:rPr>
        <w:t xml:space="preserve">149,4 </w:t>
      </w:r>
      <w:proofErr w:type="spellStart"/>
      <w:r w:rsidR="00256E42">
        <w:rPr>
          <w:rFonts w:cs="Arial"/>
        </w:rPr>
        <w:t>тыс</w:t>
      </w:r>
      <w:proofErr w:type="spellEnd"/>
      <w:r w:rsidR="00256E42">
        <w:rPr>
          <w:rFonts w:cs="Arial"/>
        </w:rPr>
        <w:t xml:space="preserve"> </w:t>
      </w:r>
      <w:proofErr w:type="spellStart"/>
      <w:r w:rsidR="00256E42">
        <w:rPr>
          <w:rFonts w:cs="Arial"/>
        </w:rPr>
        <w:t>руб</w:t>
      </w:r>
      <w:proofErr w:type="spellEnd"/>
      <w:r w:rsidR="00256E42">
        <w:rPr>
          <w:rFonts w:cs="Arial"/>
        </w:rPr>
        <w:t xml:space="preserve">, на выплату штрафных санкций по долговым обязательствам в размере 222,0 </w:t>
      </w:r>
      <w:proofErr w:type="spellStart"/>
      <w:r w:rsidR="00256E42">
        <w:rPr>
          <w:rFonts w:cs="Arial"/>
        </w:rPr>
        <w:t>тыс</w:t>
      </w:r>
      <w:proofErr w:type="spellEnd"/>
      <w:r w:rsidR="00256E42">
        <w:rPr>
          <w:rFonts w:cs="Arial"/>
        </w:rPr>
        <w:t xml:space="preserve"> руб.</w:t>
      </w:r>
    </w:p>
    <w:p w:rsidR="00F653E4" w:rsidRPr="0039713E" w:rsidRDefault="00F653E4" w:rsidP="00F653E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  <w:t>Бюджетные кредиты из областного бюджета в 2018г не привлекались.</w:t>
      </w:r>
    </w:p>
    <w:p w:rsidR="00F653E4" w:rsidRDefault="00556CB8" w:rsidP="00F653E4">
      <w:pPr>
        <w:autoSpaceDE w:val="0"/>
        <w:autoSpaceDN w:val="0"/>
        <w:adjustRightInd w:val="0"/>
        <w:jc w:val="both"/>
      </w:pPr>
      <w:r w:rsidRPr="00556CB8">
        <w:t>Нарушений предельного значения муниципального долга, установленного ст. 107 Бюджетного кодекса РФ не установлено.</w:t>
      </w:r>
    </w:p>
    <w:p w:rsidR="00556CB8" w:rsidRPr="00A57033" w:rsidRDefault="00556CB8" w:rsidP="00F653E4">
      <w:pPr>
        <w:autoSpaceDE w:val="0"/>
        <w:autoSpaceDN w:val="0"/>
        <w:adjustRightInd w:val="0"/>
        <w:jc w:val="both"/>
      </w:pPr>
    </w:p>
    <w:p w:rsidR="000933B8" w:rsidRPr="00772F62" w:rsidRDefault="00772F62" w:rsidP="00EC35DC">
      <w:pPr>
        <w:ind w:right="-5" w:firstLine="567"/>
        <w:jc w:val="center"/>
        <w:rPr>
          <w:rFonts w:cs="Arial"/>
          <w:b/>
        </w:rPr>
      </w:pPr>
      <w:r w:rsidRPr="00772F62">
        <w:rPr>
          <w:rFonts w:cs="Arial"/>
          <w:b/>
        </w:rPr>
        <w:t>4.</w:t>
      </w:r>
      <w:r w:rsidR="00F653E4">
        <w:rPr>
          <w:rFonts w:cs="Arial"/>
          <w:b/>
        </w:rPr>
        <w:t>5</w:t>
      </w:r>
      <w:r w:rsidRPr="00772F62">
        <w:rPr>
          <w:rFonts w:cs="Arial"/>
          <w:b/>
        </w:rPr>
        <w:t xml:space="preserve">. </w:t>
      </w:r>
      <w:r>
        <w:rPr>
          <w:rFonts w:cs="Arial"/>
          <w:b/>
        </w:rPr>
        <w:t>Отчет об использовании ассигнований резервного фонда</w:t>
      </w:r>
    </w:p>
    <w:p w:rsidR="000933B8" w:rsidRPr="00772F62" w:rsidRDefault="000933B8" w:rsidP="00EC35DC">
      <w:pPr>
        <w:ind w:right="-5" w:firstLine="567"/>
        <w:jc w:val="center"/>
        <w:rPr>
          <w:rFonts w:cs="Arial"/>
        </w:rPr>
      </w:pPr>
    </w:p>
    <w:p w:rsidR="00772F62" w:rsidRPr="00772F62" w:rsidRDefault="00772F62" w:rsidP="00772F62">
      <w:pPr>
        <w:ind w:right="-5" w:firstLine="567"/>
        <w:rPr>
          <w:rFonts w:cs="Arial"/>
        </w:rPr>
      </w:pPr>
      <w:r w:rsidRPr="00772F62">
        <w:rPr>
          <w:rFonts w:cs="Arial"/>
        </w:rPr>
        <w:t>Отчет об использовании ассигнований резервного фонда представлен в приложении к проекту решения Думы №6</w:t>
      </w:r>
      <w:r>
        <w:rPr>
          <w:rFonts w:cs="Arial"/>
        </w:rPr>
        <w:t xml:space="preserve">, в котором указано об использовании ассигнований резервного фонда  </w:t>
      </w:r>
      <w:r w:rsidRPr="00772F62">
        <w:rPr>
          <w:rFonts w:cs="Arial"/>
        </w:rPr>
        <w:t>Администрации городского округа муниципального образования – «город Тулун»</w:t>
      </w:r>
      <w:r w:rsidR="00472FB1">
        <w:rPr>
          <w:rFonts w:cs="Arial"/>
        </w:rPr>
        <w:t xml:space="preserve"> </w:t>
      </w:r>
      <w:r>
        <w:rPr>
          <w:rFonts w:cs="Arial"/>
        </w:rPr>
        <w:t>за 2018 год.</w:t>
      </w:r>
    </w:p>
    <w:p w:rsidR="000933B8" w:rsidRDefault="00772F62" w:rsidP="00772F62">
      <w:pPr>
        <w:ind w:right="-5" w:firstLine="567"/>
        <w:jc w:val="both"/>
        <w:rPr>
          <w:rFonts w:cs="Arial"/>
        </w:rPr>
      </w:pPr>
      <w:r>
        <w:rPr>
          <w:rFonts w:cs="Arial"/>
        </w:rPr>
        <w:t xml:space="preserve">Согласно Решению о бюджете </w:t>
      </w:r>
      <w:r w:rsidRPr="00772F62">
        <w:rPr>
          <w:rFonts w:cs="Arial"/>
        </w:rPr>
        <w:t xml:space="preserve">от 26.12.2017г. № 39-ДГО на 2018 год утверждены бюджетные ассигнования резервного фонда  Администрации городского округа муниципального образования – «город Тулун» в объеме  500,0 </w:t>
      </w:r>
      <w:proofErr w:type="spellStart"/>
      <w:r w:rsidRPr="00772F62">
        <w:rPr>
          <w:rFonts w:cs="Arial"/>
        </w:rPr>
        <w:t>тыс</w:t>
      </w:r>
      <w:proofErr w:type="gramStart"/>
      <w:r w:rsidRPr="00772F62">
        <w:rPr>
          <w:rFonts w:cs="Arial"/>
        </w:rPr>
        <w:t>.р</w:t>
      </w:r>
      <w:proofErr w:type="gramEnd"/>
      <w:r w:rsidRPr="00772F62">
        <w:rPr>
          <w:rFonts w:cs="Arial"/>
        </w:rPr>
        <w:t>уб</w:t>
      </w:r>
      <w:proofErr w:type="spellEnd"/>
      <w:r w:rsidRPr="00772F62">
        <w:rPr>
          <w:rFonts w:cs="Arial"/>
        </w:rPr>
        <w:t xml:space="preserve">.  Средства резервного фонда в размере 10,3 </w:t>
      </w:r>
      <w:proofErr w:type="spellStart"/>
      <w:r w:rsidRPr="00772F62">
        <w:rPr>
          <w:rFonts w:cs="Arial"/>
        </w:rPr>
        <w:t>тыс.руб</w:t>
      </w:r>
      <w:proofErr w:type="spellEnd"/>
      <w:r w:rsidRPr="00772F62">
        <w:rPr>
          <w:rFonts w:cs="Arial"/>
        </w:rPr>
        <w:t xml:space="preserve">. использованы на проведение аварийно-восстановительных работ  - подвоз воды населению автоцистернами,  средства резервного фонда в размере 163,7 </w:t>
      </w:r>
      <w:proofErr w:type="spellStart"/>
      <w:r w:rsidRPr="00772F62">
        <w:rPr>
          <w:rFonts w:cs="Arial"/>
        </w:rPr>
        <w:t>тыс.руб</w:t>
      </w:r>
      <w:proofErr w:type="spellEnd"/>
      <w:r w:rsidRPr="00772F62">
        <w:rPr>
          <w:rFonts w:cs="Arial"/>
        </w:rPr>
        <w:t xml:space="preserve">.  направлены на финансирование  мероприятий, связанных с подтоплением паводковыми водами частных домов и подворий, исполнение по которым планируется в четвертом квартале 2018 года. Бюджетные ассигнования резервного фонда </w:t>
      </w:r>
      <w:r w:rsidRPr="00772F62">
        <w:rPr>
          <w:rFonts w:cs="Arial"/>
        </w:rPr>
        <w:lastRenderedPageBreak/>
        <w:t xml:space="preserve">Администрации городского округа муниципального образования – «город Тулун» по состоянию на 01.01.2019г.  составляют 326,0 </w:t>
      </w:r>
      <w:proofErr w:type="spellStart"/>
      <w:r w:rsidRPr="00772F62">
        <w:rPr>
          <w:rFonts w:cs="Arial"/>
        </w:rPr>
        <w:t>тыс</w:t>
      </w:r>
      <w:proofErr w:type="gramStart"/>
      <w:r w:rsidRPr="00772F62">
        <w:rPr>
          <w:rFonts w:cs="Arial"/>
        </w:rPr>
        <w:t>.р</w:t>
      </w:r>
      <w:proofErr w:type="gramEnd"/>
      <w:r w:rsidRPr="00772F62">
        <w:rPr>
          <w:rFonts w:cs="Arial"/>
        </w:rPr>
        <w:t>уб</w:t>
      </w:r>
      <w:proofErr w:type="spellEnd"/>
      <w:r w:rsidRPr="00772F62">
        <w:rPr>
          <w:rFonts w:cs="Arial"/>
        </w:rPr>
        <w:t>.</w:t>
      </w:r>
    </w:p>
    <w:p w:rsidR="00472FB1" w:rsidRDefault="00472FB1" w:rsidP="00772F62">
      <w:pPr>
        <w:ind w:right="-5" w:firstLine="567"/>
        <w:jc w:val="both"/>
        <w:rPr>
          <w:rFonts w:cs="Arial"/>
        </w:rPr>
      </w:pPr>
    </w:p>
    <w:p w:rsidR="00472FB1" w:rsidRDefault="00472FB1" w:rsidP="00472FB1">
      <w:pPr>
        <w:ind w:right="-5" w:firstLine="567"/>
        <w:jc w:val="center"/>
        <w:rPr>
          <w:rFonts w:cs="Arial"/>
          <w:b/>
        </w:rPr>
      </w:pPr>
      <w:r>
        <w:rPr>
          <w:rFonts w:cs="Arial"/>
          <w:b/>
        </w:rPr>
        <w:t>4.</w:t>
      </w:r>
      <w:r w:rsidR="00F653E4">
        <w:rPr>
          <w:rFonts w:cs="Arial"/>
          <w:b/>
        </w:rPr>
        <w:t>6</w:t>
      </w:r>
      <w:r w:rsidRPr="00472FB1">
        <w:rPr>
          <w:rFonts w:cs="Arial"/>
          <w:b/>
        </w:rPr>
        <w:t xml:space="preserve">. </w:t>
      </w:r>
      <w:r>
        <w:rPr>
          <w:rFonts w:cs="Arial"/>
          <w:b/>
        </w:rPr>
        <w:t>Отчет об использовании бюджетных ассигнований дорожного фонда</w:t>
      </w:r>
    </w:p>
    <w:p w:rsidR="00472FB1" w:rsidRDefault="00472FB1" w:rsidP="00472FB1">
      <w:pPr>
        <w:ind w:right="-5" w:firstLine="567"/>
        <w:jc w:val="both"/>
        <w:rPr>
          <w:rFonts w:cs="Arial"/>
        </w:rPr>
      </w:pPr>
    </w:p>
    <w:p w:rsidR="00472FB1" w:rsidRDefault="00472FB1" w:rsidP="00472FB1">
      <w:pPr>
        <w:ind w:right="-5" w:firstLine="567"/>
        <w:jc w:val="both"/>
        <w:rPr>
          <w:rFonts w:cs="Arial"/>
        </w:rPr>
      </w:pPr>
      <w:r w:rsidRPr="00472FB1">
        <w:rPr>
          <w:rFonts w:cs="Arial"/>
        </w:rPr>
        <w:t xml:space="preserve">Отчет </w:t>
      </w:r>
      <w:r>
        <w:rPr>
          <w:rFonts w:cs="Arial"/>
        </w:rPr>
        <w:t xml:space="preserve">об использовании бюджетных ассигнований дорожного фонда муниципального образования за 2018 год, представлен в </w:t>
      </w:r>
      <w:r w:rsidRPr="00472FB1">
        <w:rPr>
          <w:rFonts w:cs="Arial"/>
        </w:rPr>
        <w:t>прил</w:t>
      </w:r>
      <w:r>
        <w:rPr>
          <w:rFonts w:cs="Arial"/>
        </w:rPr>
        <w:t>ожении к проекту решения Думы №7.</w:t>
      </w:r>
    </w:p>
    <w:p w:rsidR="00472FB1" w:rsidRPr="00472FB1" w:rsidRDefault="00472FB1" w:rsidP="00472FB1">
      <w:pPr>
        <w:ind w:right="-5" w:firstLine="567"/>
        <w:jc w:val="both"/>
        <w:rPr>
          <w:rFonts w:cs="Arial"/>
        </w:rPr>
      </w:pPr>
      <w:r>
        <w:rPr>
          <w:rFonts w:cs="Arial"/>
        </w:rPr>
        <w:t xml:space="preserve">Решением Думы о бюджете от 26.12.2017г №39-ДГО в окончательной редакции объем дорожного фонда утвержден в размере   </w:t>
      </w:r>
      <w:r w:rsidR="007D6E72">
        <w:rPr>
          <w:rFonts w:cs="Arial"/>
        </w:rPr>
        <w:t xml:space="preserve">31 308,3 </w:t>
      </w:r>
      <w:proofErr w:type="spellStart"/>
      <w:proofErr w:type="gramStart"/>
      <w:r w:rsidR="007D6E72">
        <w:rPr>
          <w:rFonts w:cs="Arial"/>
        </w:rPr>
        <w:t>тыс</w:t>
      </w:r>
      <w:proofErr w:type="spellEnd"/>
      <w:proofErr w:type="gramEnd"/>
      <w:r w:rsidR="007D6E72">
        <w:rPr>
          <w:rFonts w:cs="Arial"/>
        </w:rPr>
        <w:t xml:space="preserve"> </w:t>
      </w:r>
      <w:proofErr w:type="spellStart"/>
      <w:r w:rsidR="007D6E72">
        <w:rPr>
          <w:rFonts w:cs="Arial"/>
        </w:rPr>
        <w:t>руб</w:t>
      </w:r>
      <w:proofErr w:type="spellEnd"/>
      <w:r w:rsidR="007D6E72">
        <w:rPr>
          <w:rFonts w:cs="Arial"/>
        </w:rPr>
        <w:t xml:space="preserve">, остаток бюджетных ассигнований по состоянию на 01.01.2018г составлял 264,9 </w:t>
      </w:r>
      <w:proofErr w:type="spellStart"/>
      <w:r w:rsidR="007D6E72">
        <w:rPr>
          <w:rFonts w:cs="Arial"/>
        </w:rPr>
        <w:t>тыс</w:t>
      </w:r>
      <w:proofErr w:type="spellEnd"/>
      <w:r w:rsidR="007D6E72">
        <w:rPr>
          <w:rFonts w:cs="Arial"/>
        </w:rPr>
        <w:t xml:space="preserve"> руб. Доходы дорожного фонда за 2018 год с учетом остатка на начало года сформированы в объеме 31 713,6 </w:t>
      </w:r>
      <w:proofErr w:type="spellStart"/>
      <w:r w:rsidR="007D6E72">
        <w:rPr>
          <w:rFonts w:cs="Arial"/>
        </w:rPr>
        <w:t>тыс</w:t>
      </w:r>
      <w:proofErr w:type="spellEnd"/>
      <w:r w:rsidR="007D6E72">
        <w:rPr>
          <w:rFonts w:cs="Arial"/>
        </w:rPr>
        <w:t xml:space="preserve"> </w:t>
      </w:r>
      <w:proofErr w:type="spellStart"/>
      <w:r w:rsidR="007D6E72">
        <w:rPr>
          <w:rFonts w:cs="Arial"/>
        </w:rPr>
        <w:t>руб</w:t>
      </w:r>
      <w:proofErr w:type="spellEnd"/>
      <w:r w:rsidR="00294544">
        <w:rPr>
          <w:rFonts w:cs="Arial"/>
        </w:rPr>
        <w:t xml:space="preserve">, </w:t>
      </w:r>
      <w:r w:rsidR="001A516A">
        <w:rPr>
          <w:rFonts w:cs="Arial"/>
        </w:rPr>
        <w:t xml:space="preserve">расходы дорожного фонда составили 31 572,2 </w:t>
      </w:r>
      <w:proofErr w:type="spellStart"/>
      <w:r w:rsidR="001A516A">
        <w:rPr>
          <w:rFonts w:cs="Arial"/>
        </w:rPr>
        <w:t>тыс</w:t>
      </w:r>
      <w:proofErr w:type="spellEnd"/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руб</w:t>
      </w:r>
      <w:proofErr w:type="spellEnd"/>
      <w:r w:rsidR="001A516A">
        <w:rPr>
          <w:rFonts w:cs="Arial"/>
        </w:rPr>
        <w:t xml:space="preserve">, исполнение которых не вышло за пределы утвержденных лимитов бюджетных ассигнований утвержденных решением о бюджете, из которых 62,2% или 19 638,2 </w:t>
      </w:r>
      <w:proofErr w:type="spellStart"/>
      <w:proofErr w:type="gramStart"/>
      <w:r w:rsidR="001A516A">
        <w:rPr>
          <w:rFonts w:cs="Arial"/>
        </w:rPr>
        <w:t>тыс</w:t>
      </w:r>
      <w:proofErr w:type="spellEnd"/>
      <w:proofErr w:type="gramEnd"/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руб</w:t>
      </w:r>
      <w:proofErr w:type="spellEnd"/>
      <w:r w:rsidR="001A516A">
        <w:rPr>
          <w:rFonts w:cs="Arial"/>
        </w:rPr>
        <w:t xml:space="preserve">  направлено на содержание муниципальных дорог, 37,8% или 11 934,0 </w:t>
      </w:r>
      <w:proofErr w:type="spellStart"/>
      <w:r w:rsidR="001A516A">
        <w:rPr>
          <w:rFonts w:cs="Arial"/>
        </w:rPr>
        <w:t>тыс</w:t>
      </w:r>
      <w:proofErr w:type="spellEnd"/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руб</w:t>
      </w:r>
      <w:proofErr w:type="spellEnd"/>
      <w:r w:rsidR="001A516A">
        <w:rPr>
          <w:rFonts w:cs="Arial"/>
        </w:rPr>
        <w:t xml:space="preserve"> на строительство, капитальный ремонт автомобильных дорог и капитальный ремонт, ремонт дворовых территорий многоквартирных домов, проездов к дворовым территориям многоквартирных домов. Исполнение по расходам составило 99,9%, остаток бюджетных ассигнований дорожного фонда по состоянию на 01.01.2019г составил 141,4 </w:t>
      </w:r>
      <w:proofErr w:type="spellStart"/>
      <w:proofErr w:type="gramStart"/>
      <w:r w:rsidR="001A516A">
        <w:rPr>
          <w:rFonts w:cs="Arial"/>
        </w:rPr>
        <w:t>тыс</w:t>
      </w:r>
      <w:proofErr w:type="spellEnd"/>
      <w:proofErr w:type="gramEnd"/>
      <w:r w:rsidR="001A516A">
        <w:rPr>
          <w:rFonts w:cs="Arial"/>
        </w:rPr>
        <w:t xml:space="preserve"> руб.</w:t>
      </w:r>
    </w:p>
    <w:p w:rsidR="00472FB1" w:rsidRPr="00772F62" w:rsidRDefault="00472FB1" w:rsidP="00772F62">
      <w:pPr>
        <w:ind w:right="-5" w:firstLine="567"/>
        <w:jc w:val="both"/>
        <w:rPr>
          <w:rFonts w:cs="Arial"/>
        </w:rPr>
      </w:pPr>
    </w:p>
    <w:p w:rsidR="000933B8" w:rsidRDefault="00F653E4" w:rsidP="00EC35DC">
      <w:pPr>
        <w:ind w:right="-5" w:firstLine="567"/>
        <w:jc w:val="center"/>
        <w:rPr>
          <w:rFonts w:cs="Arial"/>
          <w:b/>
        </w:rPr>
      </w:pPr>
      <w:r>
        <w:rPr>
          <w:rFonts w:cs="Arial"/>
          <w:b/>
        </w:rPr>
        <w:t>5. Сравнительная оценка финансовой устойчивости бюджета муниципального образования</w:t>
      </w:r>
      <w:r w:rsidR="005B6017">
        <w:rPr>
          <w:rFonts w:cs="Arial"/>
          <w:b/>
        </w:rPr>
        <w:t xml:space="preserve"> </w:t>
      </w:r>
      <w:r w:rsidR="00B24E1B" w:rsidRPr="00B24E1B">
        <w:rPr>
          <w:rFonts w:cs="Arial"/>
          <w:b/>
        </w:rPr>
        <w:t>– «город Тулун»</w:t>
      </w:r>
    </w:p>
    <w:p w:rsidR="00B24E1B" w:rsidRDefault="00B24E1B" w:rsidP="00EC35DC">
      <w:pPr>
        <w:ind w:right="-5" w:firstLine="567"/>
        <w:jc w:val="center"/>
        <w:rPr>
          <w:rFonts w:cs="Arial"/>
          <w:b/>
        </w:rPr>
      </w:pPr>
    </w:p>
    <w:p w:rsidR="00BE454D" w:rsidRDefault="00BE454D" w:rsidP="00EC35DC">
      <w:pPr>
        <w:ind w:right="-5" w:firstLine="567"/>
        <w:jc w:val="center"/>
        <w:rPr>
          <w:rFonts w:cs="Arial"/>
          <w:b/>
        </w:rPr>
      </w:pPr>
      <w:r>
        <w:rPr>
          <w:rFonts w:cs="Arial"/>
          <w:b/>
        </w:rPr>
        <w:t>Основные показатели бюджета за 2017 год и 2018 год</w:t>
      </w:r>
    </w:p>
    <w:p w:rsidR="00BC2D0C" w:rsidRPr="0039713E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81"/>
        <w:gridCol w:w="2428"/>
        <w:gridCol w:w="2428"/>
      </w:tblGrid>
      <w:tr w:rsidR="00F653E4" w:rsidTr="00F653E4">
        <w:tc>
          <w:tcPr>
            <w:tcW w:w="675" w:type="dxa"/>
          </w:tcPr>
          <w:p w:rsidR="00F653E4" w:rsidRPr="004E1AE5" w:rsidRDefault="00F653E4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 xml:space="preserve">№ </w:t>
            </w:r>
            <w:proofErr w:type="gramStart"/>
            <w:r w:rsidRPr="004E1AE5">
              <w:rPr>
                <w:sz w:val="20"/>
                <w:szCs w:val="20"/>
              </w:rPr>
              <w:t>п</w:t>
            </w:r>
            <w:proofErr w:type="gramEnd"/>
            <w:r w:rsidRPr="004E1AE5">
              <w:rPr>
                <w:sz w:val="20"/>
                <w:szCs w:val="20"/>
              </w:rPr>
              <w:t>/п</w:t>
            </w:r>
          </w:p>
        </w:tc>
        <w:tc>
          <w:tcPr>
            <w:tcW w:w="4181" w:type="dxa"/>
            <w:vAlign w:val="center"/>
          </w:tcPr>
          <w:p w:rsidR="00F653E4" w:rsidRPr="004E1AE5" w:rsidRDefault="00F653E4" w:rsidP="00F653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8" w:type="dxa"/>
          </w:tcPr>
          <w:p w:rsidR="00F653E4" w:rsidRPr="004E1AE5" w:rsidRDefault="00F653E4" w:rsidP="00BE45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Факт 2017 года (</w:t>
            </w:r>
            <w:proofErr w:type="spellStart"/>
            <w:r w:rsidRPr="004E1AE5">
              <w:rPr>
                <w:sz w:val="20"/>
                <w:szCs w:val="20"/>
              </w:rPr>
              <w:t>тыс</w:t>
            </w:r>
            <w:proofErr w:type="gramStart"/>
            <w:r w:rsidRPr="004E1AE5">
              <w:rPr>
                <w:sz w:val="20"/>
                <w:szCs w:val="20"/>
              </w:rPr>
              <w:t>.р</w:t>
            </w:r>
            <w:proofErr w:type="gramEnd"/>
            <w:r w:rsidRPr="004E1AE5">
              <w:rPr>
                <w:sz w:val="20"/>
                <w:szCs w:val="20"/>
              </w:rPr>
              <w:t>уб</w:t>
            </w:r>
            <w:proofErr w:type="spellEnd"/>
            <w:r w:rsidRPr="004E1AE5"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</w:tcPr>
          <w:p w:rsidR="00F653E4" w:rsidRPr="004E1AE5" w:rsidRDefault="00F653E4" w:rsidP="00BE45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Факт 2018 года (</w:t>
            </w:r>
            <w:proofErr w:type="spellStart"/>
            <w:r w:rsidRPr="004E1AE5">
              <w:rPr>
                <w:sz w:val="20"/>
                <w:szCs w:val="20"/>
              </w:rPr>
              <w:t>тыс</w:t>
            </w:r>
            <w:proofErr w:type="gramStart"/>
            <w:r w:rsidRPr="004E1AE5">
              <w:rPr>
                <w:sz w:val="20"/>
                <w:szCs w:val="20"/>
              </w:rPr>
              <w:t>.р</w:t>
            </w:r>
            <w:proofErr w:type="gramEnd"/>
            <w:r w:rsidRPr="004E1AE5">
              <w:rPr>
                <w:sz w:val="20"/>
                <w:szCs w:val="20"/>
              </w:rPr>
              <w:t>уб</w:t>
            </w:r>
            <w:proofErr w:type="spellEnd"/>
            <w:r w:rsidRPr="004E1AE5">
              <w:rPr>
                <w:sz w:val="20"/>
                <w:szCs w:val="20"/>
              </w:rPr>
              <w:t>)</w:t>
            </w:r>
          </w:p>
        </w:tc>
      </w:tr>
      <w:tr w:rsidR="00830118" w:rsidTr="00F653E4">
        <w:tc>
          <w:tcPr>
            <w:tcW w:w="675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1.</w:t>
            </w:r>
          </w:p>
        </w:tc>
        <w:tc>
          <w:tcPr>
            <w:tcW w:w="4181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Доходы всего</w:t>
            </w:r>
          </w:p>
        </w:tc>
        <w:tc>
          <w:tcPr>
            <w:tcW w:w="2428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979 363,3</w:t>
            </w:r>
          </w:p>
        </w:tc>
        <w:tc>
          <w:tcPr>
            <w:tcW w:w="2428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1 034 723,2</w:t>
            </w:r>
          </w:p>
        </w:tc>
      </w:tr>
      <w:tr w:rsidR="00F653E4" w:rsidTr="00F653E4">
        <w:tc>
          <w:tcPr>
            <w:tcW w:w="675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2.</w:t>
            </w:r>
          </w:p>
        </w:tc>
        <w:tc>
          <w:tcPr>
            <w:tcW w:w="4181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Налоговые</w:t>
            </w:r>
            <w:r w:rsidR="006332C5" w:rsidRPr="004E1AE5">
              <w:rPr>
                <w:sz w:val="20"/>
                <w:szCs w:val="20"/>
              </w:rPr>
              <w:t xml:space="preserve"> и неналоговые</w:t>
            </w:r>
            <w:r w:rsidRPr="004E1AE5">
              <w:rPr>
                <w:sz w:val="20"/>
                <w:szCs w:val="20"/>
              </w:rPr>
              <w:t xml:space="preserve"> доходы</w:t>
            </w:r>
          </w:p>
        </w:tc>
        <w:tc>
          <w:tcPr>
            <w:tcW w:w="2428" w:type="dxa"/>
          </w:tcPr>
          <w:p w:rsidR="00F653E4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263 077,8</w:t>
            </w:r>
          </w:p>
        </w:tc>
        <w:tc>
          <w:tcPr>
            <w:tcW w:w="2428" w:type="dxa"/>
          </w:tcPr>
          <w:p w:rsidR="00F653E4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294 753,2</w:t>
            </w:r>
          </w:p>
        </w:tc>
      </w:tr>
      <w:tr w:rsidR="006332C5" w:rsidTr="00F653E4">
        <w:tc>
          <w:tcPr>
            <w:tcW w:w="675" w:type="dxa"/>
          </w:tcPr>
          <w:p w:rsidR="006332C5" w:rsidRPr="004E1AE5" w:rsidRDefault="006332C5" w:rsidP="006332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6332C5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428" w:type="dxa"/>
          </w:tcPr>
          <w:p w:rsidR="006332C5" w:rsidRPr="004E1AE5" w:rsidRDefault="006332C5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220 829,5</w:t>
            </w:r>
          </w:p>
        </w:tc>
        <w:tc>
          <w:tcPr>
            <w:tcW w:w="2428" w:type="dxa"/>
          </w:tcPr>
          <w:p w:rsidR="006332C5" w:rsidRPr="004E1AE5" w:rsidRDefault="006332C5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248 170,8</w:t>
            </w:r>
          </w:p>
        </w:tc>
      </w:tr>
      <w:tr w:rsidR="006332C5" w:rsidTr="008B52B9">
        <w:tc>
          <w:tcPr>
            <w:tcW w:w="675" w:type="dxa"/>
          </w:tcPr>
          <w:p w:rsidR="006332C5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6332C5" w:rsidRPr="004E1AE5" w:rsidRDefault="006332C5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428" w:type="dxa"/>
          </w:tcPr>
          <w:p w:rsidR="006332C5" w:rsidRPr="004E1AE5" w:rsidRDefault="006332C5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42 248,3</w:t>
            </w:r>
          </w:p>
        </w:tc>
        <w:tc>
          <w:tcPr>
            <w:tcW w:w="2428" w:type="dxa"/>
          </w:tcPr>
          <w:p w:rsidR="006332C5" w:rsidRPr="004E1AE5" w:rsidRDefault="006332C5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46 582,4</w:t>
            </w:r>
          </w:p>
        </w:tc>
      </w:tr>
      <w:tr w:rsidR="00830118" w:rsidTr="00830118">
        <w:tc>
          <w:tcPr>
            <w:tcW w:w="675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0118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3</w:t>
            </w:r>
            <w:r w:rsidR="00830118" w:rsidRPr="004E1AE5">
              <w:rPr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830118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Собственные доходы (налоговые, неналоговые, дотации, субсидии)</w:t>
            </w:r>
          </w:p>
        </w:tc>
        <w:tc>
          <w:tcPr>
            <w:tcW w:w="2428" w:type="dxa"/>
            <w:vAlign w:val="bottom"/>
          </w:tcPr>
          <w:p w:rsidR="00830118" w:rsidRPr="004E1AE5" w:rsidRDefault="00830118" w:rsidP="0083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509 620,8</w:t>
            </w:r>
          </w:p>
        </w:tc>
        <w:tc>
          <w:tcPr>
            <w:tcW w:w="2428" w:type="dxa"/>
            <w:vAlign w:val="bottom"/>
          </w:tcPr>
          <w:p w:rsidR="00830118" w:rsidRPr="004E1AE5" w:rsidRDefault="00830118" w:rsidP="0083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496 478,0</w:t>
            </w:r>
          </w:p>
        </w:tc>
      </w:tr>
      <w:tr w:rsidR="00F653E4" w:rsidTr="00F653E4">
        <w:tc>
          <w:tcPr>
            <w:tcW w:w="675" w:type="dxa"/>
          </w:tcPr>
          <w:p w:rsidR="00F653E4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</w:t>
            </w:r>
            <w:r w:rsidR="00830118" w:rsidRPr="004E1AE5">
              <w:rPr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28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716 285,5</w:t>
            </w:r>
          </w:p>
        </w:tc>
        <w:tc>
          <w:tcPr>
            <w:tcW w:w="2428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739 970,0</w:t>
            </w:r>
          </w:p>
        </w:tc>
      </w:tr>
      <w:tr w:rsidR="00F653E4" w:rsidTr="00F653E4">
        <w:tc>
          <w:tcPr>
            <w:tcW w:w="675" w:type="dxa"/>
          </w:tcPr>
          <w:p w:rsidR="00F653E4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5</w:t>
            </w:r>
            <w:r w:rsidR="00830118" w:rsidRPr="004E1AE5">
              <w:rPr>
                <w:sz w:val="20"/>
                <w:szCs w:val="20"/>
              </w:rPr>
              <w:t>.</w:t>
            </w:r>
          </w:p>
        </w:tc>
        <w:tc>
          <w:tcPr>
            <w:tcW w:w="4181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Расходы бюджета</w:t>
            </w:r>
          </w:p>
        </w:tc>
        <w:tc>
          <w:tcPr>
            <w:tcW w:w="2428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983 696,4</w:t>
            </w:r>
          </w:p>
        </w:tc>
        <w:tc>
          <w:tcPr>
            <w:tcW w:w="2428" w:type="dxa"/>
          </w:tcPr>
          <w:p w:rsidR="00F653E4" w:rsidRPr="004E1AE5" w:rsidRDefault="00830118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1 034 168,5</w:t>
            </w:r>
          </w:p>
        </w:tc>
      </w:tr>
      <w:tr w:rsidR="00894397" w:rsidTr="00830118">
        <w:tc>
          <w:tcPr>
            <w:tcW w:w="675" w:type="dxa"/>
          </w:tcPr>
          <w:p w:rsidR="00894397" w:rsidRPr="004E1AE5" w:rsidRDefault="00894397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894397" w:rsidRPr="004E1AE5" w:rsidRDefault="00894397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Объем муниципального долга</w:t>
            </w:r>
          </w:p>
        </w:tc>
        <w:tc>
          <w:tcPr>
            <w:tcW w:w="2428" w:type="dxa"/>
            <w:vAlign w:val="bottom"/>
          </w:tcPr>
          <w:p w:rsidR="00894397" w:rsidRPr="004E1AE5" w:rsidRDefault="00894397" w:rsidP="00BC6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20 006,6</w:t>
            </w:r>
          </w:p>
        </w:tc>
        <w:tc>
          <w:tcPr>
            <w:tcW w:w="2428" w:type="dxa"/>
            <w:vAlign w:val="bottom"/>
          </w:tcPr>
          <w:p w:rsidR="00894397" w:rsidRPr="004E1AE5" w:rsidRDefault="00894397" w:rsidP="00BC6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24 566,9</w:t>
            </w:r>
          </w:p>
        </w:tc>
      </w:tr>
      <w:tr w:rsidR="00B91F76" w:rsidTr="008B52B9">
        <w:tc>
          <w:tcPr>
            <w:tcW w:w="675" w:type="dxa"/>
          </w:tcPr>
          <w:p w:rsidR="00B91F76" w:rsidRPr="004E1AE5" w:rsidRDefault="00B91F76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B91F76" w:rsidRPr="004E1AE5" w:rsidRDefault="00B91F76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2428" w:type="dxa"/>
          </w:tcPr>
          <w:p w:rsidR="00B91F76" w:rsidRPr="004E1AE5" w:rsidRDefault="00B91F76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41 640</w:t>
            </w:r>
          </w:p>
        </w:tc>
        <w:tc>
          <w:tcPr>
            <w:tcW w:w="2428" w:type="dxa"/>
          </w:tcPr>
          <w:p w:rsidR="00B91F76" w:rsidRPr="004E1AE5" w:rsidRDefault="00B91F76" w:rsidP="008B52B9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41 279</w:t>
            </w:r>
          </w:p>
        </w:tc>
      </w:tr>
      <w:tr w:rsidR="006332C5" w:rsidTr="00830118">
        <w:tc>
          <w:tcPr>
            <w:tcW w:w="675" w:type="dxa"/>
          </w:tcPr>
          <w:p w:rsidR="006332C5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8</w:t>
            </w:r>
          </w:p>
        </w:tc>
        <w:tc>
          <w:tcPr>
            <w:tcW w:w="4181" w:type="dxa"/>
          </w:tcPr>
          <w:p w:rsidR="006332C5" w:rsidRPr="004E1AE5" w:rsidRDefault="006332C5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 xml:space="preserve">Коэффициент бюджетной зависимости </w:t>
            </w:r>
          </w:p>
        </w:tc>
        <w:tc>
          <w:tcPr>
            <w:tcW w:w="2428" w:type="dxa"/>
            <w:vAlign w:val="bottom"/>
          </w:tcPr>
          <w:p w:rsidR="006332C5" w:rsidRPr="004E1AE5" w:rsidRDefault="006332C5" w:rsidP="00BC6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73</w:t>
            </w:r>
            <w:r w:rsidR="00BC6622" w:rsidRPr="004E1AE5">
              <w:rPr>
                <w:sz w:val="20"/>
                <w:szCs w:val="20"/>
              </w:rPr>
              <w:t>,1</w:t>
            </w:r>
          </w:p>
        </w:tc>
        <w:tc>
          <w:tcPr>
            <w:tcW w:w="2428" w:type="dxa"/>
            <w:vAlign w:val="bottom"/>
          </w:tcPr>
          <w:p w:rsidR="006332C5" w:rsidRPr="004E1AE5" w:rsidRDefault="006332C5" w:rsidP="00BC6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71</w:t>
            </w:r>
            <w:r w:rsidR="00BC6622" w:rsidRPr="004E1AE5">
              <w:rPr>
                <w:sz w:val="20"/>
                <w:szCs w:val="20"/>
              </w:rPr>
              <w:t>,</w:t>
            </w:r>
            <w:r w:rsidRPr="004E1AE5">
              <w:rPr>
                <w:sz w:val="20"/>
                <w:szCs w:val="20"/>
              </w:rPr>
              <w:t>5</w:t>
            </w:r>
          </w:p>
        </w:tc>
      </w:tr>
      <w:tr w:rsidR="00894397" w:rsidTr="00B24E1B">
        <w:tc>
          <w:tcPr>
            <w:tcW w:w="675" w:type="dxa"/>
          </w:tcPr>
          <w:p w:rsidR="00894397" w:rsidRPr="004E1AE5" w:rsidRDefault="00894397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894397" w:rsidRPr="004E1AE5" w:rsidRDefault="00894397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 xml:space="preserve">Коэффициент бюджетной результативности </w:t>
            </w:r>
          </w:p>
        </w:tc>
        <w:tc>
          <w:tcPr>
            <w:tcW w:w="2428" w:type="dxa"/>
            <w:vAlign w:val="bottom"/>
          </w:tcPr>
          <w:p w:rsidR="00894397" w:rsidRPr="004E1AE5" w:rsidRDefault="00C310FF" w:rsidP="00B2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23,5</w:t>
            </w:r>
          </w:p>
        </w:tc>
        <w:tc>
          <w:tcPr>
            <w:tcW w:w="2428" w:type="dxa"/>
            <w:vAlign w:val="bottom"/>
          </w:tcPr>
          <w:p w:rsidR="00894397" w:rsidRPr="004E1AE5" w:rsidRDefault="00C310FF" w:rsidP="00B2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25,06</w:t>
            </w:r>
          </w:p>
        </w:tc>
      </w:tr>
      <w:tr w:rsidR="00B24E1B" w:rsidTr="00B24E1B">
        <w:tc>
          <w:tcPr>
            <w:tcW w:w="675" w:type="dxa"/>
          </w:tcPr>
          <w:p w:rsidR="00B24E1B" w:rsidRPr="004E1AE5" w:rsidRDefault="00B24E1B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B24E1B" w:rsidRPr="004E1AE5" w:rsidRDefault="00894397" w:rsidP="006D0A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Коэффициент бюджетной задолженности %</w:t>
            </w:r>
          </w:p>
        </w:tc>
        <w:tc>
          <w:tcPr>
            <w:tcW w:w="2428" w:type="dxa"/>
            <w:vAlign w:val="bottom"/>
          </w:tcPr>
          <w:p w:rsidR="00B24E1B" w:rsidRPr="004E1AE5" w:rsidRDefault="00894397" w:rsidP="00B2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7,6</w:t>
            </w:r>
          </w:p>
        </w:tc>
        <w:tc>
          <w:tcPr>
            <w:tcW w:w="2428" w:type="dxa"/>
            <w:vAlign w:val="bottom"/>
          </w:tcPr>
          <w:p w:rsidR="00B24E1B" w:rsidRPr="004E1AE5" w:rsidRDefault="00894397" w:rsidP="00B2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8,3</w:t>
            </w:r>
          </w:p>
        </w:tc>
      </w:tr>
    </w:tbl>
    <w:p w:rsidR="00B25A23" w:rsidRDefault="00B25A23" w:rsidP="006D0AFD">
      <w:pPr>
        <w:autoSpaceDE w:val="0"/>
        <w:autoSpaceDN w:val="0"/>
        <w:adjustRightInd w:val="0"/>
        <w:ind w:firstLine="708"/>
        <w:jc w:val="both"/>
      </w:pPr>
    </w:p>
    <w:p w:rsidR="00B24E1B" w:rsidRDefault="006332C5" w:rsidP="006D0AFD">
      <w:pPr>
        <w:autoSpaceDE w:val="0"/>
        <w:autoSpaceDN w:val="0"/>
        <w:adjustRightInd w:val="0"/>
        <w:ind w:firstLine="708"/>
        <w:jc w:val="both"/>
      </w:pPr>
      <w:r>
        <w:t xml:space="preserve">Финансовая устойчивость бюджета муниципального образования </w:t>
      </w:r>
      <w:proofErr w:type="gramStart"/>
      <w:r>
        <w:t>определяется</w:t>
      </w:r>
      <w:proofErr w:type="gramEnd"/>
      <w:r>
        <w:t xml:space="preserve"> прежде всего, его финансовой самостоятельностью</w:t>
      </w:r>
      <w:r w:rsidR="00BC6622">
        <w:t>. Показатели доходов бюджета имеют положительную динамику, доля налоговых и неналоговых доходов в общей структуре доходов возрастает. Увеличение налоговых доходов  указывает, что собираемость налогов в муниципальном образовании увеличивается.  Коэффициент бюджетной зависимости имеет тенденцию снижения на 1,6 процентных пункта и составил</w:t>
      </w:r>
      <w:r w:rsidR="00336684">
        <w:t xml:space="preserve"> за 2018г -</w:t>
      </w:r>
      <w:r w:rsidR="00BC6622">
        <w:t xml:space="preserve">71,5%, </w:t>
      </w:r>
      <w:r w:rsidR="00336684">
        <w:t>несмотря на снижение</w:t>
      </w:r>
      <w:r w:rsidR="003045A5">
        <w:t xml:space="preserve"> </w:t>
      </w:r>
      <w:r w:rsidR="00336684">
        <w:t xml:space="preserve"> показателя, доходы местного</w:t>
      </w:r>
      <w:r w:rsidR="003045A5">
        <w:t xml:space="preserve"> бюджет</w:t>
      </w:r>
      <w:r w:rsidR="00336684">
        <w:t xml:space="preserve">а  </w:t>
      </w:r>
      <w:r w:rsidR="003045A5">
        <w:t>зависим</w:t>
      </w:r>
      <w:r w:rsidR="00336684">
        <w:t>ы</w:t>
      </w:r>
      <w:r w:rsidR="003045A5">
        <w:t xml:space="preserve"> от </w:t>
      </w:r>
      <w:r w:rsidR="00336684">
        <w:t>целевых поступлений из других бюджетов бюджетной системы РФ</w:t>
      </w:r>
      <w:r w:rsidR="003045A5">
        <w:t>.</w:t>
      </w:r>
    </w:p>
    <w:p w:rsidR="00C310FF" w:rsidRDefault="00B91F76" w:rsidP="006D0AFD">
      <w:pPr>
        <w:autoSpaceDE w:val="0"/>
        <w:autoSpaceDN w:val="0"/>
        <w:adjustRightInd w:val="0"/>
        <w:ind w:firstLine="708"/>
        <w:jc w:val="both"/>
      </w:pPr>
      <w:r>
        <w:t>Коэффициент</w:t>
      </w:r>
      <w:r w:rsidR="00C310FF">
        <w:t xml:space="preserve"> бюджетной результативности показал, что на каждого жителя муниципального образования в 2018г приходилось 25,06 </w:t>
      </w:r>
      <w:proofErr w:type="spellStart"/>
      <w:proofErr w:type="gramStart"/>
      <w:r w:rsidR="00C310FF">
        <w:t>тыс</w:t>
      </w:r>
      <w:proofErr w:type="spellEnd"/>
      <w:proofErr w:type="gramEnd"/>
      <w:r w:rsidR="00C310FF">
        <w:t xml:space="preserve"> </w:t>
      </w:r>
      <w:proofErr w:type="spellStart"/>
      <w:r w:rsidR="00C310FF">
        <w:t>руб</w:t>
      </w:r>
      <w:proofErr w:type="spellEnd"/>
      <w:r w:rsidR="00C310FF">
        <w:t xml:space="preserve"> доходов местного бюджета, коэффициент бюджетной результативности вырос на 1,56 процентных пункта.</w:t>
      </w:r>
    </w:p>
    <w:p w:rsidR="000712F9" w:rsidRDefault="0040594F" w:rsidP="004E1AE5">
      <w:pPr>
        <w:autoSpaceDE w:val="0"/>
        <w:autoSpaceDN w:val="0"/>
        <w:adjustRightInd w:val="0"/>
        <w:ind w:firstLine="708"/>
        <w:jc w:val="both"/>
      </w:pPr>
      <w:r>
        <w:t>Объем муниципального</w:t>
      </w:r>
      <w:r w:rsidR="00F611DB">
        <w:t xml:space="preserve"> долг</w:t>
      </w:r>
      <w:r>
        <w:t>а увеличился</w:t>
      </w:r>
      <w:r w:rsidR="00F611DB">
        <w:t xml:space="preserve"> на </w:t>
      </w:r>
      <w:r w:rsidR="0091513C">
        <w:t xml:space="preserve">4 560,3 </w:t>
      </w:r>
      <w:proofErr w:type="spellStart"/>
      <w:proofErr w:type="gramStart"/>
      <w:r w:rsidR="0091513C">
        <w:t>тыс</w:t>
      </w:r>
      <w:proofErr w:type="spellEnd"/>
      <w:proofErr w:type="gramEnd"/>
      <w:r w:rsidR="0091513C">
        <w:t xml:space="preserve"> </w:t>
      </w:r>
      <w:proofErr w:type="spellStart"/>
      <w:r w:rsidR="0091513C">
        <w:t>руб</w:t>
      </w:r>
      <w:proofErr w:type="spellEnd"/>
      <w:r w:rsidR="0091513C">
        <w:t xml:space="preserve"> или </w:t>
      </w:r>
      <w:r>
        <w:t xml:space="preserve">22,4% и составил 24 566,9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 xml:space="preserve"> в связи с реструктуризацией задолженности</w:t>
      </w:r>
      <w:r w:rsidR="00F611DB">
        <w:t>, а в сравнении с объемом собственных доходов 2017г поднял</w:t>
      </w:r>
      <w:r>
        <w:t xml:space="preserve">ся </w:t>
      </w:r>
      <w:r w:rsidR="00F611DB">
        <w:t xml:space="preserve"> на 0,7 процентных пункта.</w:t>
      </w:r>
    </w:p>
    <w:p w:rsidR="004E1AE5" w:rsidRPr="00821F78" w:rsidRDefault="004E1AE5" w:rsidP="004E1AE5">
      <w:pPr>
        <w:autoSpaceDE w:val="0"/>
        <w:autoSpaceDN w:val="0"/>
        <w:adjustRightInd w:val="0"/>
        <w:ind w:firstLine="708"/>
        <w:jc w:val="both"/>
      </w:pPr>
    </w:p>
    <w:p w:rsidR="00BC2D0C" w:rsidRDefault="007C38E0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lastRenderedPageBreak/>
        <w:t>7</w:t>
      </w:r>
      <w:r w:rsidR="00AA2E87" w:rsidRPr="00961E95">
        <w:rPr>
          <w:b/>
        </w:rPr>
        <w:t>. Выводы и рекомендации</w:t>
      </w:r>
    </w:p>
    <w:p w:rsidR="008B52B9" w:rsidRDefault="008B52B9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8B52B9" w:rsidRDefault="008B52B9" w:rsidP="00336684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В ходе проведения экспертизы</w:t>
      </w:r>
      <w:r w:rsidRPr="008B52B9">
        <w:t xml:space="preserve"> проекта решения Думы городского округа «Об утверждении годового отчета об исполнении бюджета муниципального образования – «город Тулун» за 2018 год» </w:t>
      </w:r>
      <w:r>
        <w:t xml:space="preserve">установлено, </w:t>
      </w:r>
      <w:r w:rsidRPr="008B52B9">
        <w:rPr>
          <w:b/>
        </w:rPr>
        <w:t xml:space="preserve">что в нарушение ст.264.6 Бюджетного кодекса РФ, Положения о бюджетном процессе в Проекте решения о бюджете  утверждаются показатели и </w:t>
      </w:r>
      <w:proofErr w:type="gramStart"/>
      <w:r w:rsidRPr="008B52B9">
        <w:rPr>
          <w:b/>
        </w:rPr>
        <w:t>отчеты</w:t>
      </w:r>
      <w:proofErr w:type="gramEnd"/>
      <w:r w:rsidRPr="008B52B9">
        <w:rPr>
          <w:b/>
        </w:rPr>
        <w:t xml:space="preserve"> не установленные 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8B52B9" w:rsidRPr="008B52B9" w:rsidRDefault="008B52B9" w:rsidP="0033668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95A60" w:rsidRPr="00995A60" w:rsidRDefault="00995A60" w:rsidP="00336684">
      <w:pPr>
        <w:autoSpaceDE w:val="0"/>
        <w:autoSpaceDN w:val="0"/>
        <w:adjustRightInd w:val="0"/>
        <w:ind w:firstLine="708"/>
        <w:jc w:val="both"/>
      </w:pPr>
      <w:r>
        <w:t>Основные характеристики местного бюджета на 2018 год последовательно устанавливались в течение года 3 раза. При этом</w:t>
      </w:r>
      <w:proofErr w:type="gramStart"/>
      <w:r>
        <w:t>,</w:t>
      </w:r>
      <w:proofErr w:type="gramEnd"/>
      <w:r>
        <w:t xml:space="preserve"> объемы доходов и объем расходов местного бюджета по сравнению с первоначально установленными показателями увеличились. Неоднократные корректировки основных характеристик местного бюджета были в значительной степени обусловлены дополнительными поступлениями </w:t>
      </w:r>
      <w:r w:rsidR="00336684">
        <w:t>межбюджетных трансфертов  из других бюджетов бюджетной системы РФ.</w:t>
      </w:r>
    </w:p>
    <w:p w:rsidR="00995A60" w:rsidRDefault="008A106C" w:rsidP="00336684">
      <w:pPr>
        <w:autoSpaceDE w:val="0"/>
        <w:autoSpaceDN w:val="0"/>
        <w:adjustRightInd w:val="0"/>
        <w:ind w:firstLine="708"/>
        <w:jc w:val="both"/>
      </w:pPr>
      <w:r>
        <w:t xml:space="preserve">В 2018г доходы местного бюджета зависимы </w:t>
      </w:r>
      <w:r w:rsidRPr="008A106C">
        <w:t>от целевых поступлений из других бюджетов бюджетной системы РФ</w:t>
      </w:r>
      <w:r>
        <w:t>, несмотря на то</w:t>
      </w:r>
      <w:r w:rsidR="008B52B9">
        <w:t>,</w:t>
      </w:r>
      <w:r>
        <w:t xml:space="preserve"> что коэффициент </w:t>
      </w:r>
      <w:r w:rsidR="008B52B9">
        <w:t xml:space="preserve">бюджетной зависимости </w:t>
      </w:r>
      <w:r>
        <w:t>снизился  и составил   71,5%.</w:t>
      </w:r>
    </w:p>
    <w:p w:rsidR="008A106C" w:rsidRDefault="009F1ABD" w:rsidP="00336684">
      <w:pPr>
        <w:autoSpaceDE w:val="0"/>
        <w:autoSpaceDN w:val="0"/>
        <w:adjustRightInd w:val="0"/>
        <w:ind w:firstLine="708"/>
        <w:jc w:val="both"/>
      </w:pPr>
      <w:r>
        <w:t xml:space="preserve">Основные характеристики Проекта решения бюджета соответствуют  данным годового отчета об исполнении местного бюджета за 2018 год и итоговым суммам фактических поступлений доходов в местный бюджет муниципального образования – «город Тулун» и выбывших средств из местного бюджета. Бюджет муниципального образования за 2018 год исполнен по доходам в сумме 1 034 723,2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, по расходам 1 033 875,5 </w:t>
      </w:r>
      <w:proofErr w:type="spellStart"/>
      <w:r>
        <w:t>тыс</w:t>
      </w:r>
      <w:proofErr w:type="spellEnd"/>
      <w:r>
        <w:t xml:space="preserve">  </w:t>
      </w:r>
      <w:proofErr w:type="spellStart"/>
      <w:r>
        <w:t>руб</w:t>
      </w:r>
      <w:proofErr w:type="spellEnd"/>
      <w:r>
        <w:t xml:space="preserve">, с превышением доходов над расходами (профицит) в сумме 847,7 </w:t>
      </w:r>
      <w:proofErr w:type="spellStart"/>
      <w:r>
        <w:t>тыс</w:t>
      </w:r>
      <w:proofErr w:type="spellEnd"/>
      <w:r>
        <w:t xml:space="preserve"> руб</w:t>
      </w:r>
      <w:r w:rsidR="0040594F">
        <w:t>.</w:t>
      </w:r>
    </w:p>
    <w:p w:rsidR="00FF0973" w:rsidRDefault="00FF0973" w:rsidP="00336684">
      <w:pPr>
        <w:autoSpaceDE w:val="0"/>
        <w:autoSpaceDN w:val="0"/>
        <w:adjustRightInd w:val="0"/>
        <w:ind w:firstLine="708"/>
        <w:jc w:val="both"/>
      </w:pPr>
      <w:r w:rsidRPr="00FF0973">
        <w:t>Нарушений предельного объема дефицита местного бюджета, определенного п.3 ст.92.1 Бюджетного</w:t>
      </w:r>
      <w:r>
        <w:t xml:space="preserve"> Кодекса РФ, как на начало</w:t>
      </w:r>
      <w:r w:rsidR="00B03DB0">
        <w:t xml:space="preserve"> и конец финансового</w:t>
      </w:r>
      <w:r>
        <w:t xml:space="preserve"> года</w:t>
      </w:r>
      <w:r w:rsidRPr="00FF0973">
        <w:t>, так и в течение проверяемого периода не установлено.</w:t>
      </w:r>
    </w:p>
    <w:p w:rsidR="00B03DB0" w:rsidRPr="00B03DB0" w:rsidRDefault="00B03DB0" w:rsidP="00B03DB0">
      <w:pPr>
        <w:ind w:firstLine="708"/>
        <w:jc w:val="both"/>
      </w:pPr>
      <w:r w:rsidRPr="00B03DB0">
        <w:t>Резервный фонд муниципального образования – «город Тулун»  не превышает предельного значения установленного п.3 ст.81 Бюджетного Кодекса РФ.</w:t>
      </w:r>
    </w:p>
    <w:p w:rsidR="00B03DB0" w:rsidRDefault="00B03DB0" w:rsidP="00336684">
      <w:pPr>
        <w:autoSpaceDE w:val="0"/>
        <w:autoSpaceDN w:val="0"/>
        <w:adjustRightInd w:val="0"/>
        <w:ind w:firstLine="708"/>
        <w:jc w:val="both"/>
      </w:pPr>
    </w:p>
    <w:p w:rsidR="0040594F" w:rsidRDefault="0040594F" w:rsidP="00336684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t>Объем муниципального долга увеличился</w:t>
      </w:r>
      <w:r w:rsidR="00556CB8">
        <w:t xml:space="preserve"> на 4 560,3 </w:t>
      </w:r>
      <w:proofErr w:type="spellStart"/>
      <w:proofErr w:type="gramStart"/>
      <w:r w:rsidR="00556CB8">
        <w:t>тыс</w:t>
      </w:r>
      <w:proofErr w:type="spellEnd"/>
      <w:proofErr w:type="gramEnd"/>
      <w:r w:rsidR="00556CB8">
        <w:t xml:space="preserve"> </w:t>
      </w:r>
      <w:proofErr w:type="spellStart"/>
      <w:r w:rsidR="00556CB8">
        <w:t>руб</w:t>
      </w:r>
      <w:proofErr w:type="spellEnd"/>
      <w:r>
        <w:t xml:space="preserve"> и на 01.01.2019г составил 24 566,9 </w:t>
      </w:r>
      <w:proofErr w:type="spellStart"/>
      <w:r>
        <w:t>тыс</w:t>
      </w:r>
      <w:proofErr w:type="spellEnd"/>
      <w:r>
        <w:t xml:space="preserve"> руб. </w:t>
      </w:r>
      <w:r w:rsidRPr="0040594F">
        <w:t xml:space="preserve">Увеличение основного муниципального долга произошло за счет начисления в 2018 году муниципального долга  </w:t>
      </w:r>
      <w:r w:rsidR="00556CB8">
        <w:t xml:space="preserve">в объеме 6 691,9 </w:t>
      </w:r>
      <w:proofErr w:type="spellStart"/>
      <w:r w:rsidR="00556CB8">
        <w:t>тыс.руб</w:t>
      </w:r>
      <w:proofErr w:type="spellEnd"/>
      <w:r w:rsidR="00556CB8" w:rsidRPr="0040594F">
        <w:t xml:space="preserve"> </w:t>
      </w:r>
      <w:r w:rsidRPr="0040594F">
        <w:t>в связи с заключенным дополнительным соглашением о реструктуризации обязательств муниципального образования – «город Тулун» перед Иркутской областью по бюджетным кредитам</w:t>
      </w:r>
      <w:r>
        <w:t>.</w:t>
      </w:r>
      <w:r w:rsidR="00556CB8" w:rsidRPr="00556CB8">
        <w:rPr>
          <w:rFonts w:cs="Arial"/>
        </w:rPr>
        <w:t xml:space="preserve"> </w:t>
      </w:r>
      <w:r w:rsidR="00556CB8">
        <w:rPr>
          <w:rFonts w:cs="Arial"/>
        </w:rPr>
        <w:t xml:space="preserve">Согласно графика в 2018 году муниципальный долг погашен в размере 1 293,0 </w:t>
      </w:r>
      <w:proofErr w:type="spellStart"/>
      <w:proofErr w:type="gramStart"/>
      <w:r w:rsidR="00556CB8">
        <w:rPr>
          <w:rFonts w:cs="Arial"/>
        </w:rPr>
        <w:t>тыс</w:t>
      </w:r>
      <w:proofErr w:type="spellEnd"/>
      <w:proofErr w:type="gramEnd"/>
      <w:r w:rsidR="00556CB8">
        <w:rPr>
          <w:rFonts w:cs="Arial"/>
        </w:rPr>
        <w:t xml:space="preserve"> руб.</w:t>
      </w:r>
    </w:p>
    <w:p w:rsidR="00556CB8" w:rsidRDefault="00556CB8" w:rsidP="00336684">
      <w:pPr>
        <w:autoSpaceDE w:val="0"/>
        <w:autoSpaceDN w:val="0"/>
        <w:adjustRightInd w:val="0"/>
        <w:ind w:firstLine="708"/>
        <w:jc w:val="both"/>
      </w:pPr>
      <w:r>
        <w:rPr>
          <w:rFonts w:cs="Arial"/>
        </w:rPr>
        <w:t>Нарушений предельного значения муниципального долга, установленного ст. 107 Бюджетного кодекса РФ не установлено.</w:t>
      </w:r>
    </w:p>
    <w:p w:rsidR="00B03DB0" w:rsidRDefault="00B03DB0" w:rsidP="00336684">
      <w:pPr>
        <w:autoSpaceDE w:val="0"/>
        <w:autoSpaceDN w:val="0"/>
        <w:adjustRightInd w:val="0"/>
        <w:ind w:firstLine="708"/>
        <w:jc w:val="both"/>
      </w:pPr>
      <w:r w:rsidRPr="00B03DB0">
        <w:t>Бюджетные кредиты в 2018 году муниципальному образованию – «город Тулун» не предоставлялись.</w:t>
      </w:r>
    </w:p>
    <w:p w:rsidR="00B03DB0" w:rsidRPr="00336684" w:rsidRDefault="00B03DB0" w:rsidP="00336684">
      <w:pPr>
        <w:autoSpaceDE w:val="0"/>
        <w:autoSpaceDN w:val="0"/>
        <w:adjustRightInd w:val="0"/>
        <w:ind w:firstLine="708"/>
        <w:jc w:val="both"/>
      </w:pPr>
      <w:r>
        <w:t>Муниципальные гарантии в 2018 году не предоставлялись.</w:t>
      </w:r>
    </w:p>
    <w:p w:rsidR="00995A60" w:rsidRDefault="0040594F" w:rsidP="0040594F">
      <w:pPr>
        <w:autoSpaceDE w:val="0"/>
        <w:autoSpaceDN w:val="0"/>
        <w:adjustRightInd w:val="0"/>
        <w:ind w:firstLine="708"/>
        <w:jc w:val="both"/>
      </w:pPr>
      <w:r w:rsidRPr="0040594F">
        <w:t>Объем дебиторской задолженности ежегодно увеличивается</w:t>
      </w:r>
      <w:r w:rsidR="00600EF6">
        <w:t>,</w:t>
      </w:r>
      <w:r w:rsidRPr="0040594F">
        <w:t xml:space="preserve"> </w:t>
      </w:r>
      <w:r w:rsidR="00831806" w:rsidRPr="00831806">
        <w:t xml:space="preserve">по сравнению с началом года </w:t>
      </w:r>
      <w:r w:rsidR="00831806">
        <w:t xml:space="preserve">задолженность увеличилась </w:t>
      </w:r>
      <w:r w:rsidR="00831806" w:rsidRPr="00831806">
        <w:t xml:space="preserve"> на 651 988,8 </w:t>
      </w:r>
      <w:proofErr w:type="spellStart"/>
      <w:proofErr w:type="gramStart"/>
      <w:r w:rsidR="00831806" w:rsidRPr="00831806">
        <w:t>тыс</w:t>
      </w:r>
      <w:proofErr w:type="spellEnd"/>
      <w:proofErr w:type="gramEnd"/>
      <w:r w:rsidR="00831806" w:rsidRPr="00831806">
        <w:t xml:space="preserve"> </w:t>
      </w:r>
      <w:proofErr w:type="spellStart"/>
      <w:r w:rsidR="00831806" w:rsidRPr="00831806">
        <w:t>руб</w:t>
      </w:r>
      <w:proofErr w:type="spellEnd"/>
      <w:r w:rsidR="00831806" w:rsidRPr="00831806">
        <w:t xml:space="preserve"> </w:t>
      </w:r>
      <w:r w:rsidR="00831806">
        <w:t xml:space="preserve"> и </w:t>
      </w:r>
      <w:r>
        <w:t>по состоянию на 01.01.201</w:t>
      </w:r>
      <w:r w:rsidR="00D355F5">
        <w:t>9</w:t>
      </w:r>
      <w:r>
        <w:t xml:space="preserve"> года составил</w:t>
      </w:r>
      <w:r w:rsidR="00831806">
        <w:t>а</w:t>
      </w:r>
      <w:r>
        <w:t xml:space="preserve"> 791 354,5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 w:rsidR="00600EF6">
        <w:t xml:space="preserve">, в том числе </w:t>
      </w:r>
      <w:r w:rsidR="00D355F5" w:rsidRPr="00D355F5">
        <w:t>в том числе</w:t>
      </w:r>
      <w:r w:rsidR="00D355F5">
        <w:t xml:space="preserve"> просроченная 124 786,3 </w:t>
      </w:r>
      <w:proofErr w:type="spellStart"/>
      <w:r w:rsidR="00D355F5">
        <w:t>тыс.руб</w:t>
      </w:r>
      <w:proofErr w:type="spellEnd"/>
      <w:r w:rsidR="00D355F5">
        <w:t xml:space="preserve">., </w:t>
      </w:r>
      <w:r w:rsidR="00D355F5" w:rsidRPr="00D355F5">
        <w:t xml:space="preserve"> </w:t>
      </w:r>
      <w:r w:rsidR="00D355F5">
        <w:t xml:space="preserve">долгосрочная в размере </w:t>
      </w:r>
      <w:r w:rsidR="00D355F5" w:rsidRPr="00D355F5">
        <w:t xml:space="preserve">660 486,7 </w:t>
      </w:r>
      <w:proofErr w:type="spellStart"/>
      <w:r w:rsidR="00D355F5" w:rsidRPr="00D355F5">
        <w:t>тыс</w:t>
      </w:r>
      <w:proofErr w:type="spellEnd"/>
      <w:r w:rsidR="00D355F5" w:rsidRPr="00D355F5">
        <w:t xml:space="preserve"> </w:t>
      </w:r>
      <w:proofErr w:type="spellStart"/>
      <w:r w:rsidR="00D355F5" w:rsidRPr="00D355F5">
        <w:t>руб</w:t>
      </w:r>
      <w:proofErr w:type="spellEnd"/>
      <w:r w:rsidR="00831806">
        <w:t xml:space="preserve"> (доходы</w:t>
      </w:r>
      <w:r w:rsidR="00831806" w:rsidRPr="00831806">
        <w:t xml:space="preserve"> от сдачи в аренду имущества, по установке и эксплуатации рекламных конструкций, по сдаче в аренду земельных участков, находящихся в городских округах, собственность на которые не разграничена</w:t>
      </w:r>
      <w:r w:rsidR="00831806">
        <w:t xml:space="preserve">), </w:t>
      </w:r>
      <w:r w:rsidR="00E91F29">
        <w:t>том числе задолженность:</w:t>
      </w:r>
    </w:p>
    <w:p w:rsidR="0091513C" w:rsidRDefault="00E91F29" w:rsidP="00E91F2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t xml:space="preserve">по арендной плате за земли: ООО «Сибирские </w:t>
      </w:r>
      <w:proofErr w:type="spellStart"/>
      <w:r>
        <w:t>пеллеты</w:t>
      </w:r>
      <w:proofErr w:type="spellEnd"/>
      <w:r>
        <w:t xml:space="preserve">» 15116,0 тыс., ОАО «ВСКБТ» 13578,4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ОО</w:t>
      </w:r>
      <w:r w:rsidR="0091513C">
        <w:t xml:space="preserve">О «Пиво-Табак» 1254,1 </w:t>
      </w:r>
      <w:proofErr w:type="spellStart"/>
      <w:r w:rsidR="0091513C">
        <w:t>тыс.руб</w:t>
      </w:r>
      <w:proofErr w:type="spellEnd"/>
      <w:r w:rsidR="0091513C">
        <w:t>;</w:t>
      </w:r>
      <w:r>
        <w:t xml:space="preserve"> </w:t>
      </w:r>
    </w:p>
    <w:p w:rsidR="00E91F29" w:rsidRDefault="0091513C" w:rsidP="00E91F29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- </w:t>
      </w:r>
      <w:r w:rsidR="00E91F29">
        <w:t>по аренде имущества у арендаторов: ОАО «</w:t>
      </w:r>
      <w:proofErr w:type="spellStart"/>
      <w:r w:rsidR="00E91F29">
        <w:t>Облжилкомхоз</w:t>
      </w:r>
      <w:proofErr w:type="spellEnd"/>
      <w:r w:rsidR="00E91F29">
        <w:t xml:space="preserve">» 20597,3 </w:t>
      </w:r>
      <w:proofErr w:type="spellStart"/>
      <w:r w:rsidR="00E91F29">
        <w:t>тыс</w:t>
      </w:r>
      <w:proofErr w:type="gramStart"/>
      <w:r w:rsidR="00E91F29">
        <w:t>.р</w:t>
      </w:r>
      <w:proofErr w:type="gramEnd"/>
      <w:r w:rsidR="00E91F29">
        <w:t>уб</w:t>
      </w:r>
      <w:proofErr w:type="spellEnd"/>
      <w:r w:rsidR="00E91F29">
        <w:t xml:space="preserve">.,  ООО «Западный филиал» 11308,9 </w:t>
      </w:r>
      <w:proofErr w:type="spellStart"/>
      <w:r w:rsidR="00E91F29">
        <w:t>тыс.руб</w:t>
      </w:r>
      <w:proofErr w:type="spellEnd"/>
      <w:r w:rsidR="00E91F29">
        <w:t>., ОО</w:t>
      </w:r>
      <w:r>
        <w:t xml:space="preserve">О «Пиво-табак» 460,5 </w:t>
      </w:r>
      <w:proofErr w:type="spellStart"/>
      <w:r>
        <w:t>тыс.руб</w:t>
      </w:r>
      <w:proofErr w:type="spellEnd"/>
      <w:r w:rsidR="00E91F29">
        <w:t>;</w:t>
      </w:r>
    </w:p>
    <w:p w:rsidR="00E91F29" w:rsidRDefault="00E91F29" w:rsidP="00E91F2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t xml:space="preserve">по исполнительным листам (выданы в 2015 году)  по возмещению ущерба бюджету муниципального образования - «город Тулун», причиненному в результате незаконного получения субсидий по подпрограмме «Молодым семьям – доступное жильё» и составляет 398,4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 них задолженность </w:t>
      </w:r>
      <w:proofErr w:type="spellStart"/>
      <w:r>
        <w:t>Булдаковой</w:t>
      </w:r>
      <w:proofErr w:type="spellEnd"/>
      <w:r>
        <w:t xml:space="preserve"> Ю.Н. 323,9 </w:t>
      </w:r>
      <w:proofErr w:type="spellStart"/>
      <w:r>
        <w:t>тыс.руб</w:t>
      </w:r>
      <w:proofErr w:type="spellEnd"/>
      <w:r>
        <w:t xml:space="preserve">., Московских Ю.С. 74,4 </w:t>
      </w:r>
      <w:proofErr w:type="spellStart"/>
      <w:r>
        <w:t>тыс.руб</w:t>
      </w:r>
      <w:proofErr w:type="spellEnd"/>
      <w:r>
        <w:t xml:space="preserve">. (примечание: на момент проведения экспертного мероприятия задолженность Московских Ю.С. практически погашена; за период с 2015 года по настоящее время с </w:t>
      </w:r>
      <w:proofErr w:type="spellStart"/>
      <w:r>
        <w:t>Булдаковой</w:t>
      </w:r>
      <w:proofErr w:type="spellEnd"/>
      <w:r>
        <w:t xml:space="preserve"> Ю.Н. взыскано по исполните</w:t>
      </w:r>
      <w:r>
        <w:t>льному листу всего 0,21 рублей);</w:t>
      </w:r>
      <w:r>
        <w:t xml:space="preserve"> </w:t>
      </w:r>
    </w:p>
    <w:p w:rsidR="00E91F29" w:rsidRDefault="00E91F29" w:rsidP="00E91F2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t xml:space="preserve">задолженность по исполнительным листам по возмещению ущерба бюджету МО «город Тулун», причиненному в результате незаконного получения субсидий по подпрограмме «Развитие малого и среднего  предпринимательства» индивидуальными предпринимателями  </w:t>
      </w:r>
      <w:proofErr w:type="spellStart"/>
      <w:r>
        <w:t>Горнаковой</w:t>
      </w:r>
      <w:proofErr w:type="spellEnd"/>
      <w:r>
        <w:t xml:space="preserve"> О.М.,  </w:t>
      </w:r>
      <w:proofErr w:type="spellStart"/>
      <w:r>
        <w:t>Карамышевой</w:t>
      </w:r>
      <w:proofErr w:type="spellEnd"/>
      <w:r>
        <w:t xml:space="preserve"> Т.А., Кузнецовой Ю.В., </w:t>
      </w:r>
      <w:proofErr w:type="spellStart"/>
      <w:r>
        <w:t>Куява</w:t>
      </w:r>
      <w:proofErr w:type="spellEnd"/>
      <w:r>
        <w:t xml:space="preserve"> П.Г. на общую сумму 1012,2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E91F29" w:rsidRPr="0040594F" w:rsidRDefault="002C4B8A" w:rsidP="002C4B8A">
      <w:pPr>
        <w:autoSpaceDE w:val="0"/>
        <w:autoSpaceDN w:val="0"/>
        <w:adjustRightInd w:val="0"/>
        <w:ind w:firstLine="708"/>
        <w:jc w:val="both"/>
      </w:pPr>
      <w:r w:rsidRPr="002C4B8A">
        <w:t xml:space="preserve">- по денежным взысканиям (штрафам) за нарушение бюджетного законодательства составляет 20,0 </w:t>
      </w:r>
      <w:proofErr w:type="spellStart"/>
      <w:r w:rsidRPr="002C4B8A">
        <w:t>тыс</w:t>
      </w:r>
      <w:proofErr w:type="gramStart"/>
      <w:r w:rsidRPr="002C4B8A">
        <w:t>.р</w:t>
      </w:r>
      <w:proofErr w:type="gramEnd"/>
      <w:r w:rsidRPr="002C4B8A">
        <w:t>уб</w:t>
      </w:r>
      <w:proofErr w:type="spellEnd"/>
      <w:r w:rsidRPr="002C4B8A">
        <w:t xml:space="preserve">., из них задолженность ИП </w:t>
      </w:r>
      <w:proofErr w:type="spellStart"/>
      <w:r w:rsidRPr="002C4B8A">
        <w:t>Горнаковой</w:t>
      </w:r>
      <w:proofErr w:type="spellEnd"/>
      <w:r w:rsidRPr="002C4B8A">
        <w:t xml:space="preserve"> О.М.  10,0 </w:t>
      </w:r>
      <w:proofErr w:type="spellStart"/>
      <w:r w:rsidRPr="002C4B8A">
        <w:t>тыс.руб</w:t>
      </w:r>
      <w:proofErr w:type="spellEnd"/>
      <w:r w:rsidRPr="002C4B8A">
        <w:t xml:space="preserve">., ИП </w:t>
      </w:r>
      <w:proofErr w:type="spellStart"/>
      <w:r w:rsidRPr="002C4B8A">
        <w:t>Куява</w:t>
      </w:r>
      <w:proofErr w:type="spellEnd"/>
      <w:r w:rsidRPr="002C4B8A">
        <w:t xml:space="preserve"> П.Г. 10,0 </w:t>
      </w:r>
      <w:proofErr w:type="spellStart"/>
      <w:r w:rsidRPr="002C4B8A">
        <w:t>тыс.рублей</w:t>
      </w:r>
      <w:proofErr w:type="spellEnd"/>
      <w:r w:rsidRPr="002C4B8A">
        <w:t>.</w:t>
      </w:r>
    </w:p>
    <w:p w:rsidR="003371F3" w:rsidRPr="00D355F5" w:rsidRDefault="00D355F5" w:rsidP="00D355F5">
      <w:pPr>
        <w:autoSpaceDE w:val="0"/>
        <w:autoSpaceDN w:val="0"/>
        <w:adjustRightInd w:val="0"/>
        <w:ind w:firstLine="708"/>
        <w:jc w:val="both"/>
      </w:pPr>
      <w:r w:rsidRPr="00D355F5">
        <w:t xml:space="preserve">Кредиторская задолженность муниципального образования составила на 01.01.2019г  - 16 479,9 </w:t>
      </w:r>
      <w:proofErr w:type="spellStart"/>
      <w:proofErr w:type="gramStart"/>
      <w:r w:rsidRPr="00D355F5">
        <w:t>тыс</w:t>
      </w:r>
      <w:proofErr w:type="spellEnd"/>
      <w:proofErr w:type="gramEnd"/>
      <w:r w:rsidRPr="00D355F5">
        <w:t xml:space="preserve"> </w:t>
      </w:r>
      <w:proofErr w:type="spellStart"/>
      <w:r w:rsidRPr="00D355F5">
        <w:t>руб</w:t>
      </w:r>
      <w:proofErr w:type="spellEnd"/>
      <w:r w:rsidRPr="00D355F5">
        <w:t xml:space="preserve">, по сравнению с началом года наблюдается уменьшение на 1 067,9 </w:t>
      </w:r>
      <w:proofErr w:type="spellStart"/>
      <w:r w:rsidRPr="00D355F5">
        <w:t>тыс</w:t>
      </w:r>
      <w:proofErr w:type="spellEnd"/>
      <w:r w:rsidRPr="00D355F5">
        <w:t xml:space="preserve"> руб.</w:t>
      </w:r>
    </w:p>
    <w:p w:rsidR="00D355F5" w:rsidRDefault="00D355F5" w:rsidP="0077013F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ходе внешней проверки годовой бюджетной отчетности ГРБС установлены случаи несоблюдения отдельных </w:t>
      </w:r>
      <w:r w:rsidR="00B46DE8">
        <w:t xml:space="preserve">требований </w:t>
      </w:r>
      <w:r w:rsidR="00B46DE8" w:rsidRPr="00B46DE8">
        <w:t xml:space="preserve"> инструкции, утвержденной приказом Минфина РФ от 28 декабря 2010 г. № 191н </w:t>
      </w:r>
      <w:r>
        <w:t xml:space="preserve"> </w:t>
      </w:r>
      <w:r w:rsidR="00B46DE8" w:rsidRPr="00B46DE8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0B12FE">
        <w:t xml:space="preserve">, нарушений бюджетного законодательства, а также показатели недостоверности </w:t>
      </w:r>
      <w:r w:rsidR="0091513C">
        <w:t>годовой бюджетной отчетности</w:t>
      </w:r>
      <w:r w:rsidR="000B12FE">
        <w:t xml:space="preserve"> МУ «Дума города Тулуна»</w:t>
      </w:r>
      <w:r w:rsidR="00831806">
        <w:t>, МУ «Администрация</w:t>
      </w:r>
      <w:proofErr w:type="gramEnd"/>
      <w:r w:rsidR="00831806">
        <w:t xml:space="preserve"> города Тулуна»,  МКУ «Комитет социальной политики».</w:t>
      </w:r>
    </w:p>
    <w:p w:rsidR="00D355F5" w:rsidRDefault="00D355F5" w:rsidP="0077013F">
      <w:pPr>
        <w:autoSpaceDE w:val="0"/>
        <w:autoSpaceDN w:val="0"/>
        <w:adjustRightInd w:val="0"/>
        <w:ind w:firstLine="708"/>
        <w:jc w:val="both"/>
      </w:pPr>
    </w:p>
    <w:p w:rsidR="00D355F5" w:rsidRDefault="00D77AB0" w:rsidP="0077013F">
      <w:pPr>
        <w:autoSpaceDE w:val="0"/>
        <w:autoSpaceDN w:val="0"/>
        <w:adjustRightInd w:val="0"/>
        <w:ind w:firstLine="708"/>
        <w:jc w:val="both"/>
        <w:rPr>
          <w:b/>
        </w:rPr>
      </w:pPr>
      <w:r w:rsidRPr="00D77AB0">
        <w:rPr>
          <w:b/>
        </w:rPr>
        <w:t xml:space="preserve">На основании </w:t>
      </w:r>
      <w:proofErr w:type="gramStart"/>
      <w:r w:rsidR="000B12FE">
        <w:rPr>
          <w:b/>
        </w:rPr>
        <w:t>выше</w:t>
      </w:r>
      <w:r w:rsidRPr="00D77AB0">
        <w:rPr>
          <w:b/>
        </w:rPr>
        <w:t>изложенного</w:t>
      </w:r>
      <w:proofErr w:type="gramEnd"/>
      <w:r w:rsidRPr="00D77AB0">
        <w:rPr>
          <w:b/>
        </w:rPr>
        <w:t xml:space="preserve"> Контрольно-счетная палата рекомендует:</w:t>
      </w:r>
    </w:p>
    <w:p w:rsidR="000B12FE" w:rsidRDefault="000B12FE" w:rsidP="0077013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77AB0" w:rsidRDefault="00D77AB0" w:rsidP="00D77AB0">
      <w:pPr>
        <w:autoSpaceDE w:val="0"/>
        <w:autoSpaceDN w:val="0"/>
        <w:adjustRightInd w:val="0"/>
        <w:ind w:firstLine="708"/>
        <w:jc w:val="both"/>
      </w:pPr>
      <w:r w:rsidRPr="00D77AB0">
        <w:t xml:space="preserve">1. </w:t>
      </w:r>
      <w:r>
        <w:t xml:space="preserve">Думе городского округа муниципального образования – «город Тулун» рассмотреть проект решения Думы городского округа «Об исполнении местного бюджета за 2018 год», рекомендовать отчет к утверждению Думой  принимая во внимание  показатели недостоверного отражения финансовых </w:t>
      </w:r>
      <w:proofErr w:type="gramStart"/>
      <w:r>
        <w:t>операций</w:t>
      </w:r>
      <w:proofErr w:type="gramEnd"/>
      <w:r>
        <w:t xml:space="preserve"> которые привели к искажению бюджетной отчетности, установленные результатами внешней проверки;</w:t>
      </w:r>
    </w:p>
    <w:p w:rsidR="000B12FE" w:rsidRDefault="000B12FE" w:rsidP="000B12FE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обратить внимание, что показатели расходов бюджета муниципального образования – «город Тулун» по муниципальным программам города Тулуна и непрограммным направлениям деятельности за 2018 год (приложение №4 к </w:t>
      </w:r>
      <w:r w:rsidR="002B44EE" w:rsidRPr="002B44EE">
        <w:t>Проекту решения об исполнении бюджета</w:t>
      </w:r>
      <w:r>
        <w:t>) и отчет об использовании бюджетных ассигнований дорожного фонда муниципального образования – «город Тулун» за 2018 год (Приложение №7 к Проекту решения о</w:t>
      </w:r>
      <w:r w:rsidR="002B44EE">
        <w:t>б исполнении</w:t>
      </w:r>
      <w:r>
        <w:t xml:space="preserve"> бюджет</w:t>
      </w:r>
      <w:r w:rsidR="002B44EE">
        <w:t>а</w:t>
      </w:r>
      <w:r>
        <w:t xml:space="preserve">) </w:t>
      </w:r>
      <w:r w:rsidR="0091513C">
        <w:t>предлагаемых к утверждению</w:t>
      </w:r>
      <w:r w:rsidR="000F5AFC">
        <w:t xml:space="preserve"> в Проекте решения о</w:t>
      </w:r>
      <w:r w:rsidR="0091513C">
        <w:t>б</w:t>
      </w:r>
      <w:proofErr w:type="gramEnd"/>
      <w:r w:rsidR="0091513C">
        <w:t xml:space="preserve"> </w:t>
      </w:r>
      <w:proofErr w:type="gramStart"/>
      <w:r w:rsidR="0091513C">
        <w:t>исполнении</w:t>
      </w:r>
      <w:proofErr w:type="gramEnd"/>
      <w:r w:rsidR="0091513C">
        <w:t xml:space="preserve"> бюджета</w:t>
      </w:r>
      <w:r w:rsidR="000F5AFC">
        <w:t xml:space="preserve"> </w:t>
      </w:r>
      <w:r>
        <w:t xml:space="preserve">не утверждены </w:t>
      </w:r>
      <w:r w:rsidRPr="000B12FE">
        <w:t>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D90295" w:rsidRDefault="00D90295" w:rsidP="000B12FE">
      <w:pPr>
        <w:autoSpaceDE w:val="0"/>
        <w:autoSpaceDN w:val="0"/>
        <w:adjustRightInd w:val="0"/>
        <w:ind w:firstLine="708"/>
        <w:jc w:val="both"/>
      </w:pPr>
      <w:r>
        <w:t>2.</w:t>
      </w:r>
      <w:r w:rsidRPr="00D90295">
        <w:t xml:space="preserve"> </w:t>
      </w:r>
      <w:r>
        <w:t xml:space="preserve"> </w:t>
      </w:r>
      <w:r w:rsidRPr="00D90295">
        <w:t>МУ «Дума горо</w:t>
      </w:r>
      <w:r>
        <w:t>да Тулуна» устранить имеющиеся нарушения в соответствии с действующим законодательством.</w:t>
      </w:r>
    </w:p>
    <w:p w:rsidR="00E659D1" w:rsidRDefault="00D90295" w:rsidP="000B12FE">
      <w:pPr>
        <w:autoSpaceDE w:val="0"/>
        <w:autoSpaceDN w:val="0"/>
        <w:adjustRightInd w:val="0"/>
        <w:ind w:firstLine="708"/>
        <w:jc w:val="both"/>
      </w:pPr>
      <w:r>
        <w:t>3</w:t>
      </w:r>
      <w:r w:rsidR="00D77AB0">
        <w:t xml:space="preserve">. </w:t>
      </w:r>
      <w:r w:rsidR="00A0003B">
        <w:t>МУ «Администрация городского округа» в</w:t>
      </w:r>
      <w:r w:rsidR="00763B3A">
        <w:t xml:space="preserve">нести </w:t>
      </w:r>
      <w:r w:rsidR="00635F6A">
        <w:t xml:space="preserve">в п.3.3 </w:t>
      </w:r>
      <w:r w:rsidR="00763B3A" w:rsidRPr="00763B3A">
        <w:t>Положени</w:t>
      </w:r>
      <w:r w:rsidR="00635F6A">
        <w:t>я</w:t>
      </w:r>
      <w:r w:rsidR="00763B3A" w:rsidRPr="00763B3A">
        <w:t xml:space="preserve"> о бюджетном процессе</w:t>
      </w:r>
      <w:r w:rsidR="00A5404D">
        <w:t xml:space="preserve"> </w:t>
      </w:r>
      <w:r w:rsidR="005C0F98">
        <w:t xml:space="preserve"> утвержденного решением Думы городского округа муниципального образования – «город Тулун» </w:t>
      </w:r>
      <w:r w:rsidR="00DD0ADB">
        <w:t>от 13.05.2013г №06-ДГО отдельные приложения</w:t>
      </w:r>
      <w:r w:rsidR="000F5AFC">
        <w:t xml:space="preserve"> к решению об исполнении местного бюджета за отчетный финансовый год</w:t>
      </w:r>
      <w:r w:rsidR="00DD0ADB">
        <w:t xml:space="preserve"> для утверждения</w:t>
      </w:r>
      <w:r w:rsidR="00E659D1">
        <w:t>:</w:t>
      </w:r>
    </w:p>
    <w:p w:rsidR="00E659D1" w:rsidRDefault="00E659D1" w:rsidP="00E659D1">
      <w:pPr>
        <w:autoSpaceDE w:val="0"/>
        <w:autoSpaceDN w:val="0"/>
        <w:adjustRightInd w:val="0"/>
        <w:jc w:val="both"/>
      </w:pPr>
      <w:r>
        <w:t>1.</w:t>
      </w:r>
      <w:r w:rsidR="00DD0ADB">
        <w:t xml:space="preserve"> показателей</w:t>
      </w:r>
      <w:r w:rsidR="00B46DE8">
        <w:t xml:space="preserve"> </w:t>
      </w:r>
      <w:r w:rsidR="000F5AFC" w:rsidRPr="000F5AFC">
        <w:t>расходов бюджета муниципального образования – «город Тулун» по муниципальным программам города Тулуна и непрограммным направлениям деятельности</w:t>
      </w:r>
      <w:r>
        <w:t xml:space="preserve"> за отчетный год; </w:t>
      </w:r>
    </w:p>
    <w:p w:rsidR="00D77AB0" w:rsidRDefault="00E659D1" w:rsidP="00E659D1">
      <w:pPr>
        <w:autoSpaceDE w:val="0"/>
        <w:autoSpaceDN w:val="0"/>
        <w:adjustRightInd w:val="0"/>
        <w:jc w:val="both"/>
      </w:pPr>
      <w:r>
        <w:lastRenderedPageBreak/>
        <w:t xml:space="preserve">2. </w:t>
      </w:r>
      <w:r w:rsidR="000F5AFC" w:rsidRPr="000F5AFC">
        <w:t>отчет</w:t>
      </w:r>
      <w:r>
        <w:t>а</w:t>
      </w:r>
      <w:r w:rsidR="000F5AFC" w:rsidRPr="000F5AFC">
        <w:t xml:space="preserve"> об использовании бюджетных ассигнований дорожного фонда муниципального образования – «город Тулун»</w:t>
      </w:r>
      <w:r>
        <w:t xml:space="preserve"> за отчетный год</w:t>
      </w:r>
      <w:r w:rsidR="000F5AFC">
        <w:t>.</w:t>
      </w:r>
    </w:p>
    <w:p w:rsidR="00D355F5" w:rsidRDefault="00E72D25" w:rsidP="0077013F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E72D25">
        <w:t>МУ «Администрация городского округа»</w:t>
      </w:r>
      <w:r w:rsidR="00B46DE8">
        <w:t xml:space="preserve"> п</w:t>
      </w:r>
      <w:r w:rsidRPr="00E72D25">
        <w:t>ринять действенные меры по сокращению дебиторской задолженности</w:t>
      </w:r>
      <w:r>
        <w:t>.</w:t>
      </w:r>
    </w:p>
    <w:p w:rsidR="00D355F5" w:rsidRDefault="00D355F5" w:rsidP="0077013F">
      <w:pPr>
        <w:autoSpaceDE w:val="0"/>
        <w:autoSpaceDN w:val="0"/>
        <w:adjustRightInd w:val="0"/>
        <w:ind w:firstLine="708"/>
        <w:jc w:val="both"/>
      </w:pPr>
    </w:p>
    <w:p w:rsidR="00E72D25" w:rsidRDefault="00E72D25" w:rsidP="0077013F">
      <w:pPr>
        <w:autoSpaceDE w:val="0"/>
        <w:autoSpaceDN w:val="0"/>
        <w:adjustRightInd w:val="0"/>
        <w:ind w:firstLine="708"/>
        <w:jc w:val="both"/>
      </w:pPr>
    </w:p>
    <w:p w:rsidR="00466C7E" w:rsidRPr="00961E95" w:rsidRDefault="00466C7E" w:rsidP="001E78B9">
      <w:pPr>
        <w:autoSpaceDE w:val="0"/>
        <w:autoSpaceDN w:val="0"/>
        <w:adjustRightInd w:val="0"/>
        <w:jc w:val="both"/>
      </w:pP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2B44EE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>онтрольно-счетной палаты</w:t>
      </w:r>
      <w:r w:rsidR="000F5AFC">
        <w:t xml:space="preserve"> </w:t>
      </w:r>
    </w:p>
    <w:p w:rsidR="00F00ABF" w:rsidRDefault="008606EB" w:rsidP="007D5F83">
      <w:pPr>
        <w:autoSpaceDE w:val="0"/>
        <w:autoSpaceDN w:val="0"/>
        <w:adjustRightInd w:val="0"/>
        <w:jc w:val="both"/>
      </w:pPr>
      <w:r w:rsidRPr="00961E95">
        <w:t>города</w:t>
      </w:r>
      <w:r w:rsidR="00BC2D0C" w:rsidRPr="00961E95">
        <w:t xml:space="preserve"> Тулуна       </w:t>
      </w:r>
      <w:r w:rsidR="000F5AFC">
        <w:t xml:space="preserve">                                                    </w:t>
      </w:r>
      <w:r w:rsidR="002B44EE">
        <w:t xml:space="preserve">                                                  </w:t>
      </w:r>
      <w:proofErr w:type="spellStart"/>
      <w:r w:rsidRPr="00961E95">
        <w:t>Л.В.Калинчук</w:t>
      </w:r>
      <w:proofErr w:type="spellEnd"/>
    </w:p>
    <w:p w:rsidR="00F00ABF" w:rsidRDefault="00F00ABF" w:rsidP="007D5F83">
      <w:pPr>
        <w:autoSpaceDE w:val="0"/>
        <w:autoSpaceDN w:val="0"/>
        <w:adjustRightInd w:val="0"/>
        <w:jc w:val="both"/>
      </w:pPr>
    </w:p>
    <w:sectPr w:rsidR="00F00ABF" w:rsidSect="005B784F">
      <w:footerReference w:type="default" r:id="rId10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ED" w:rsidRDefault="00C579ED" w:rsidP="0040595A">
      <w:r>
        <w:separator/>
      </w:r>
    </w:p>
  </w:endnote>
  <w:endnote w:type="continuationSeparator" w:id="0">
    <w:p w:rsidR="00C579ED" w:rsidRDefault="00C579ED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FC" w:rsidRDefault="000F5AF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10F4">
      <w:rPr>
        <w:noProof/>
      </w:rPr>
      <w:t>1</w:t>
    </w:r>
    <w:r>
      <w:rPr>
        <w:noProof/>
      </w:rPr>
      <w:fldChar w:fldCharType="end"/>
    </w:r>
  </w:p>
  <w:p w:rsidR="000F5AFC" w:rsidRDefault="000F5A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ED" w:rsidRDefault="00C579ED" w:rsidP="0040595A">
      <w:r>
        <w:separator/>
      </w:r>
    </w:p>
  </w:footnote>
  <w:footnote w:type="continuationSeparator" w:id="0">
    <w:p w:rsidR="00C579ED" w:rsidRDefault="00C579ED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666A43"/>
    <w:multiLevelType w:val="hybridMultilevel"/>
    <w:tmpl w:val="49E8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3C6E22"/>
    <w:multiLevelType w:val="hybridMultilevel"/>
    <w:tmpl w:val="430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97C"/>
    <w:rsid w:val="000007BF"/>
    <w:rsid w:val="000034B4"/>
    <w:rsid w:val="00003E1E"/>
    <w:rsid w:val="00003E54"/>
    <w:rsid w:val="0000406A"/>
    <w:rsid w:val="00004934"/>
    <w:rsid w:val="00004B90"/>
    <w:rsid w:val="000065EB"/>
    <w:rsid w:val="000072E4"/>
    <w:rsid w:val="0000731D"/>
    <w:rsid w:val="0001005E"/>
    <w:rsid w:val="000142FA"/>
    <w:rsid w:val="000155E2"/>
    <w:rsid w:val="00016211"/>
    <w:rsid w:val="00017005"/>
    <w:rsid w:val="000171D4"/>
    <w:rsid w:val="0002255D"/>
    <w:rsid w:val="000230DA"/>
    <w:rsid w:val="00024192"/>
    <w:rsid w:val="00027F43"/>
    <w:rsid w:val="00030AEC"/>
    <w:rsid w:val="00031559"/>
    <w:rsid w:val="0003195E"/>
    <w:rsid w:val="00034F58"/>
    <w:rsid w:val="00035D61"/>
    <w:rsid w:val="00037A27"/>
    <w:rsid w:val="00037DFE"/>
    <w:rsid w:val="0004085C"/>
    <w:rsid w:val="00040AA6"/>
    <w:rsid w:val="0004274C"/>
    <w:rsid w:val="000431EC"/>
    <w:rsid w:val="00043E2E"/>
    <w:rsid w:val="00043E7B"/>
    <w:rsid w:val="00044103"/>
    <w:rsid w:val="00044A02"/>
    <w:rsid w:val="00045B76"/>
    <w:rsid w:val="00050224"/>
    <w:rsid w:val="000524F8"/>
    <w:rsid w:val="00052EAA"/>
    <w:rsid w:val="00052FAB"/>
    <w:rsid w:val="00054DF6"/>
    <w:rsid w:val="000551EB"/>
    <w:rsid w:val="00056193"/>
    <w:rsid w:val="0005715F"/>
    <w:rsid w:val="000572A8"/>
    <w:rsid w:val="00061968"/>
    <w:rsid w:val="00064D26"/>
    <w:rsid w:val="00065639"/>
    <w:rsid w:val="00065F30"/>
    <w:rsid w:val="000663F6"/>
    <w:rsid w:val="000673D7"/>
    <w:rsid w:val="00067AD5"/>
    <w:rsid w:val="000712F9"/>
    <w:rsid w:val="000737B2"/>
    <w:rsid w:val="000755EB"/>
    <w:rsid w:val="000759B7"/>
    <w:rsid w:val="0007718D"/>
    <w:rsid w:val="000804C1"/>
    <w:rsid w:val="00081044"/>
    <w:rsid w:val="000820C1"/>
    <w:rsid w:val="0008754E"/>
    <w:rsid w:val="00090E64"/>
    <w:rsid w:val="00092AB2"/>
    <w:rsid w:val="000933B8"/>
    <w:rsid w:val="0009405E"/>
    <w:rsid w:val="00094CFF"/>
    <w:rsid w:val="00097234"/>
    <w:rsid w:val="00097767"/>
    <w:rsid w:val="000A2FA8"/>
    <w:rsid w:val="000A397D"/>
    <w:rsid w:val="000A3B57"/>
    <w:rsid w:val="000A595F"/>
    <w:rsid w:val="000A5A02"/>
    <w:rsid w:val="000B12FE"/>
    <w:rsid w:val="000B1943"/>
    <w:rsid w:val="000B288D"/>
    <w:rsid w:val="000B3225"/>
    <w:rsid w:val="000B3B37"/>
    <w:rsid w:val="000B4F05"/>
    <w:rsid w:val="000B50A8"/>
    <w:rsid w:val="000C0020"/>
    <w:rsid w:val="000C258A"/>
    <w:rsid w:val="000C2B4E"/>
    <w:rsid w:val="000C4897"/>
    <w:rsid w:val="000C659C"/>
    <w:rsid w:val="000C7074"/>
    <w:rsid w:val="000C7A1D"/>
    <w:rsid w:val="000D4EA3"/>
    <w:rsid w:val="000D767A"/>
    <w:rsid w:val="000D7C0B"/>
    <w:rsid w:val="000E27CF"/>
    <w:rsid w:val="000E32B3"/>
    <w:rsid w:val="000E54F2"/>
    <w:rsid w:val="000E5689"/>
    <w:rsid w:val="000E5BD3"/>
    <w:rsid w:val="000F061C"/>
    <w:rsid w:val="000F15F1"/>
    <w:rsid w:val="000F2126"/>
    <w:rsid w:val="000F23E3"/>
    <w:rsid w:val="000F32AD"/>
    <w:rsid w:val="000F4739"/>
    <w:rsid w:val="000F558B"/>
    <w:rsid w:val="000F5823"/>
    <w:rsid w:val="000F5AFC"/>
    <w:rsid w:val="000F5F1D"/>
    <w:rsid w:val="000F63CB"/>
    <w:rsid w:val="000F7C52"/>
    <w:rsid w:val="001014E0"/>
    <w:rsid w:val="00102B50"/>
    <w:rsid w:val="00103227"/>
    <w:rsid w:val="001040E3"/>
    <w:rsid w:val="001064B7"/>
    <w:rsid w:val="0010652F"/>
    <w:rsid w:val="00106AC2"/>
    <w:rsid w:val="00112E3F"/>
    <w:rsid w:val="00113D59"/>
    <w:rsid w:val="0011402B"/>
    <w:rsid w:val="00115023"/>
    <w:rsid w:val="00116DD5"/>
    <w:rsid w:val="00120331"/>
    <w:rsid w:val="00120FB9"/>
    <w:rsid w:val="001246A8"/>
    <w:rsid w:val="00124B2C"/>
    <w:rsid w:val="001300F0"/>
    <w:rsid w:val="00131265"/>
    <w:rsid w:val="00132A90"/>
    <w:rsid w:val="00133477"/>
    <w:rsid w:val="00133728"/>
    <w:rsid w:val="0013436A"/>
    <w:rsid w:val="00135CC9"/>
    <w:rsid w:val="0013639C"/>
    <w:rsid w:val="0014078C"/>
    <w:rsid w:val="00141352"/>
    <w:rsid w:val="001431CB"/>
    <w:rsid w:val="0014501A"/>
    <w:rsid w:val="0014604D"/>
    <w:rsid w:val="00150C7E"/>
    <w:rsid w:val="00150FFB"/>
    <w:rsid w:val="0015198F"/>
    <w:rsid w:val="00152713"/>
    <w:rsid w:val="00153450"/>
    <w:rsid w:val="001535BC"/>
    <w:rsid w:val="00163205"/>
    <w:rsid w:val="001634D1"/>
    <w:rsid w:val="00165962"/>
    <w:rsid w:val="00170681"/>
    <w:rsid w:val="00171D19"/>
    <w:rsid w:val="001736D6"/>
    <w:rsid w:val="0017514D"/>
    <w:rsid w:val="00175E33"/>
    <w:rsid w:val="001765D7"/>
    <w:rsid w:val="00176859"/>
    <w:rsid w:val="00181300"/>
    <w:rsid w:val="00186D06"/>
    <w:rsid w:val="001870A3"/>
    <w:rsid w:val="001877CB"/>
    <w:rsid w:val="00190F27"/>
    <w:rsid w:val="00191F40"/>
    <w:rsid w:val="00193725"/>
    <w:rsid w:val="00195F3B"/>
    <w:rsid w:val="00197DE2"/>
    <w:rsid w:val="001A1A39"/>
    <w:rsid w:val="001A5134"/>
    <w:rsid w:val="001A516A"/>
    <w:rsid w:val="001A53DC"/>
    <w:rsid w:val="001A607F"/>
    <w:rsid w:val="001A6B9A"/>
    <w:rsid w:val="001B05EB"/>
    <w:rsid w:val="001B2766"/>
    <w:rsid w:val="001B2998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D0BFF"/>
    <w:rsid w:val="001D171E"/>
    <w:rsid w:val="001D5794"/>
    <w:rsid w:val="001D5CC0"/>
    <w:rsid w:val="001D7B32"/>
    <w:rsid w:val="001D7C17"/>
    <w:rsid w:val="001E004F"/>
    <w:rsid w:val="001E4151"/>
    <w:rsid w:val="001E53C6"/>
    <w:rsid w:val="001E5E46"/>
    <w:rsid w:val="001E5E8F"/>
    <w:rsid w:val="001E78B9"/>
    <w:rsid w:val="001F3711"/>
    <w:rsid w:val="001F41E8"/>
    <w:rsid w:val="001F4D66"/>
    <w:rsid w:val="001F7323"/>
    <w:rsid w:val="00200C0F"/>
    <w:rsid w:val="00203D6B"/>
    <w:rsid w:val="002058AC"/>
    <w:rsid w:val="00210CF1"/>
    <w:rsid w:val="0021139D"/>
    <w:rsid w:val="00211435"/>
    <w:rsid w:val="00211696"/>
    <w:rsid w:val="00211E1C"/>
    <w:rsid w:val="0021267D"/>
    <w:rsid w:val="0021384D"/>
    <w:rsid w:val="00215752"/>
    <w:rsid w:val="00215839"/>
    <w:rsid w:val="00216215"/>
    <w:rsid w:val="00216645"/>
    <w:rsid w:val="00217F01"/>
    <w:rsid w:val="00220F26"/>
    <w:rsid w:val="00223615"/>
    <w:rsid w:val="00223E2A"/>
    <w:rsid w:val="0022671D"/>
    <w:rsid w:val="00226897"/>
    <w:rsid w:val="0022697C"/>
    <w:rsid w:val="00226980"/>
    <w:rsid w:val="00227CBA"/>
    <w:rsid w:val="002318AA"/>
    <w:rsid w:val="00234E1B"/>
    <w:rsid w:val="00236D5A"/>
    <w:rsid w:val="0024058E"/>
    <w:rsid w:val="002432B9"/>
    <w:rsid w:val="002471EA"/>
    <w:rsid w:val="0024794B"/>
    <w:rsid w:val="002507F0"/>
    <w:rsid w:val="00251034"/>
    <w:rsid w:val="00254154"/>
    <w:rsid w:val="002550A7"/>
    <w:rsid w:val="002552BC"/>
    <w:rsid w:val="00256730"/>
    <w:rsid w:val="00256E42"/>
    <w:rsid w:val="0026113F"/>
    <w:rsid w:val="002612FC"/>
    <w:rsid w:val="002632FD"/>
    <w:rsid w:val="00263676"/>
    <w:rsid w:val="00264561"/>
    <w:rsid w:val="00265B3D"/>
    <w:rsid w:val="002716ED"/>
    <w:rsid w:val="00271841"/>
    <w:rsid w:val="00272280"/>
    <w:rsid w:val="002725EA"/>
    <w:rsid w:val="00275120"/>
    <w:rsid w:val="00276274"/>
    <w:rsid w:val="00276716"/>
    <w:rsid w:val="00277807"/>
    <w:rsid w:val="00285C27"/>
    <w:rsid w:val="00286910"/>
    <w:rsid w:val="002918AD"/>
    <w:rsid w:val="0029409D"/>
    <w:rsid w:val="00294544"/>
    <w:rsid w:val="00297FCC"/>
    <w:rsid w:val="002A3374"/>
    <w:rsid w:val="002A4B81"/>
    <w:rsid w:val="002A53A9"/>
    <w:rsid w:val="002A7B8B"/>
    <w:rsid w:val="002B2F2C"/>
    <w:rsid w:val="002B44EE"/>
    <w:rsid w:val="002B47E7"/>
    <w:rsid w:val="002C0A8F"/>
    <w:rsid w:val="002C166F"/>
    <w:rsid w:val="002C3B4E"/>
    <w:rsid w:val="002C3F89"/>
    <w:rsid w:val="002C4B8A"/>
    <w:rsid w:val="002C518E"/>
    <w:rsid w:val="002D04FC"/>
    <w:rsid w:val="002D0B7A"/>
    <w:rsid w:val="002D2D8B"/>
    <w:rsid w:val="002D640E"/>
    <w:rsid w:val="002E0192"/>
    <w:rsid w:val="002E07EB"/>
    <w:rsid w:val="002E1D81"/>
    <w:rsid w:val="002E23CF"/>
    <w:rsid w:val="002E267F"/>
    <w:rsid w:val="002E33F6"/>
    <w:rsid w:val="002E373E"/>
    <w:rsid w:val="002E4875"/>
    <w:rsid w:val="002E51F0"/>
    <w:rsid w:val="002E774B"/>
    <w:rsid w:val="002E7F2B"/>
    <w:rsid w:val="002F0981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444C"/>
    <w:rsid w:val="003045A5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6FE"/>
    <w:rsid w:val="00320CE0"/>
    <w:rsid w:val="00323455"/>
    <w:rsid w:val="00324C20"/>
    <w:rsid w:val="00326931"/>
    <w:rsid w:val="003276F3"/>
    <w:rsid w:val="00330803"/>
    <w:rsid w:val="00330E55"/>
    <w:rsid w:val="00332589"/>
    <w:rsid w:val="00333C2F"/>
    <w:rsid w:val="00334E98"/>
    <w:rsid w:val="00335266"/>
    <w:rsid w:val="00335B1B"/>
    <w:rsid w:val="00336453"/>
    <w:rsid w:val="00336684"/>
    <w:rsid w:val="003371F3"/>
    <w:rsid w:val="00337A7C"/>
    <w:rsid w:val="003446AF"/>
    <w:rsid w:val="00347265"/>
    <w:rsid w:val="00361961"/>
    <w:rsid w:val="00361C98"/>
    <w:rsid w:val="0036628E"/>
    <w:rsid w:val="003723B6"/>
    <w:rsid w:val="00372EBC"/>
    <w:rsid w:val="003748E8"/>
    <w:rsid w:val="00375230"/>
    <w:rsid w:val="00375A38"/>
    <w:rsid w:val="0037687C"/>
    <w:rsid w:val="00377408"/>
    <w:rsid w:val="003774EF"/>
    <w:rsid w:val="00377FCB"/>
    <w:rsid w:val="0038052C"/>
    <w:rsid w:val="00382CE1"/>
    <w:rsid w:val="00383D2F"/>
    <w:rsid w:val="00386C5B"/>
    <w:rsid w:val="00387653"/>
    <w:rsid w:val="0039713E"/>
    <w:rsid w:val="00397FE4"/>
    <w:rsid w:val="003A1C33"/>
    <w:rsid w:val="003A43E3"/>
    <w:rsid w:val="003A449C"/>
    <w:rsid w:val="003A5189"/>
    <w:rsid w:val="003A60FC"/>
    <w:rsid w:val="003B0BF8"/>
    <w:rsid w:val="003B4B02"/>
    <w:rsid w:val="003B4D69"/>
    <w:rsid w:val="003B54D5"/>
    <w:rsid w:val="003B5DEF"/>
    <w:rsid w:val="003B65BE"/>
    <w:rsid w:val="003B684D"/>
    <w:rsid w:val="003B7231"/>
    <w:rsid w:val="003B74CB"/>
    <w:rsid w:val="003C10F4"/>
    <w:rsid w:val="003C2F83"/>
    <w:rsid w:val="003C3DFA"/>
    <w:rsid w:val="003C3E6A"/>
    <w:rsid w:val="003C4734"/>
    <w:rsid w:val="003D4CDD"/>
    <w:rsid w:val="003D6176"/>
    <w:rsid w:val="003E41DF"/>
    <w:rsid w:val="003E4840"/>
    <w:rsid w:val="003F1988"/>
    <w:rsid w:val="003F2654"/>
    <w:rsid w:val="003F297B"/>
    <w:rsid w:val="003F483F"/>
    <w:rsid w:val="003F6BD0"/>
    <w:rsid w:val="003F6D2B"/>
    <w:rsid w:val="003F6DA0"/>
    <w:rsid w:val="003F784C"/>
    <w:rsid w:val="00402EA0"/>
    <w:rsid w:val="00404CAB"/>
    <w:rsid w:val="0040594F"/>
    <w:rsid w:val="0040595A"/>
    <w:rsid w:val="00406782"/>
    <w:rsid w:val="00406BC7"/>
    <w:rsid w:val="0041100D"/>
    <w:rsid w:val="004123BC"/>
    <w:rsid w:val="00412DC6"/>
    <w:rsid w:val="0041340A"/>
    <w:rsid w:val="00414EAF"/>
    <w:rsid w:val="00415208"/>
    <w:rsid w:val="00416ADC"/>
    <w:rsid w:val="00420451"/>
    <w:rsid w:val="00422F9A"/>
    <w:rsid w:val="004262F9"/>
    <w:rsid w:val="00430063"/>
    <w:rsid w:val="004343BD"/>
    <w:rsid w:val="00437471"/>
    <w:rsid w:val="00442075"/>
    <w:rsid w:val="004420DD"/>
    <w:rsid w:val="00445964"/>
    <w:rsid w:val="0044699B"/>
    <w:rsid w:val="004478AA"/>
    <w:rsid w:val="004547CB"/>
    <w:rsid w:val="00454E05"/>
    <w:rsid w:val="00455A24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2FB1"/>
    <w:rsid w:val="004734B1"/>
    <w:rsid w:val="00473C69"/>
    <w:rsid w:val="0047411B"/>
    <w:rsid w:val="00475154"/>
    <w:rsid w:val="0047566C"/>
    <w:rsid w:val="0047736F"/>
    <w:rsid w:val="004802AF"/>
    <w:rsid w:val="004808DE"/>
    <w:rsid w:val="00484CD0"/>
    <w:rsid w:val="004854C7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910"/>
    <w:rsid w:val="004A4A19"/>
    <w:rsid w:val="004A5FAB"/>
    <w:rsid w:val="004A6DF7"/>
    <w:rsid w:val="004A7078"/>
    <w:rsid w:val="004B00F1"/>
    <w:rsid w:val="004B1738"/>
    <w:rsid w:val="004B1CC5"/>
    <w:rsid w:val="004B23FF"/>
    <w:rsid w:val="004B30E2"/>
    <w:rsid w:val="004B38D3"/>
    <w:rsid w:val="004B5036"/>
    <w:rsid w:val="004B7035"/>
    <w:rsid w:val="004B7C4B"/>
    <w:rsid w:val="004C0D40"/>
    <w:rsid w:val="004C169F"/>
    <w:rsid w:val="004C3D24"/>
    <w:rsid w:val="004C418D"/>
    <w:rsid w:val="004C419E"/>
    <w:rsid w:val="004C58D6"/>
    <w:rsid w:val="004C7362"/>
    <w:rsid w:val="004D4D3F"/>
    <w:rsid w:val="004D5D5C"/>
    <w:rsid w:val="004D5ECD"/>
    <w:rsid w:val="004E00F4"/>
    <w:rsid w:val="004E0754"/>
    <w:rsid w:val="004E1AE5"/>
    <w:rsid w:val="004E3197"/>
    <w:rsid w:val="004E3CC7"/>
    <w:rsid w:val="004E3EC4"/>
    <w:rsid w:val="004E529E"/>
    <w:rsid w:val="004F2B25"/>
    <w:rsid w:val="004F2BC2"/>
    <w:rsid w:val="004F32BA"/>
    <w:rsid w:val="004F37CD"/>
    <w:rsid w:val="004F39DA"/>
    <w:rsid w:val="004F6216"/>
    <w:rsid w:val="004F7E1F"/>
    <w:rsid w:val="00500C8B"/>
    <w:rsid w:val="005029D5"/>
    <w:rsid w:val="00502EEB"/>
    <w:rsid w:val="0050360C"/>
    <w:rsid w:val="00503F45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23D"/>
    <w:rsid w:val="00522689"/>
    <w:rsid w:val="00525C15"/>
    <w:rsid w:val="005305E6"/>
    <w:rsid w:val="00534DE0"/>
    <w:rsid w:val="00536BB2"/>
    <w:rsid w:val="00537617"/>
    <w:rsid w:val="0053770C"/>
    <w:rsid w:val="00537A3E"/>
    <w:rsid w:val="00537F6C"/>
    <w:rsid w:val="0054132E"/>
    <w:rsid w:val="0054162F"/>
    <w:rsid w:val="005430C1"/>
    <w:rsid w:val="005434BF"/>
    <w:rsid w:val="0055045F"/>
    <w:rsid w:val="00550509"/>
    <w:rsid w:val="005528CB"/>
    <w:rsid w:val="00553429"/>
    <w:rsid w:val="005563AA"/>
    <w:rsid w:val="005565DE"/>
    <w:rsid w:val="005567B7"/>
    <w:rsid w:val="00556CB8"/>
    <w:rsid w:val="00557164"/>
    <w:rsid w:val="00561EB6"/>
    <w:rsid w:val="00564444"/>
    <w:rsid w:val="005655E7"/>
    <w:rsid w:val="00567770"/>
    <w:rsid w:val="0057048C"/>
    <w:rsid w:val="00572ABB"/>
    <w:rsid w:val="00573E33"/>
    <w:rsid w:val="005751F2"/>
    <w:rsid w:val="00580040"/>
    <w:rsid w:val="005817EC"/>
    <w:rsid w:val="0058188F"/>
    <w:rsid w:val="00584879"/>
    <w:rsid w:val="0058489E"/>
    <w:rsid w:val="005856DC"/>
    <w:rsid w:val="00586030"/>
    <w:rsid w:val="0058618C"/>
    <w:rsid w:val="00586DB3"/>
    <w:rsid w:val="00590D03"/>
    <w:rsid w:val="005915F3"/>
    <w:rsid w:val="00593AF6"/>
    <w:rsid w:val="005A0AF6"/>
    <w:rsid w:val="005A0B47"/>
    <w:rsid w:val="005A0F30"/>
    <w:rsid w:val="005A2FB5"/>
    <w:rsid w:val="005A304B"/>
    <w:rsid w:val="005A3CC2"/>
    <w:rsid w:val="005B4151"/>
    <w:rsid w:val="005B4A3D"/>
    <w:rsid w:val="005B6017"/>
    <w:rsid w:val="005B68D1"/>
    <w:rsid w:val="005B7655"/>
    <w:rsid w:val="005B784F"/>
    <w:rsid w:val="005B7DC3"/>
    <w:rsid w:val="005B7FC8"/>
    <w:rsid w:val="005C0363"/>
    <w:rsid w:val="005C0F98"/>
    <w:rsid w:val="005C211B"/>
    <w:rsid w:val="005C51AB"/>
    <w:rsid w:val="005C61E7"/>
    <w:rsid w:val="005D0244"/>
    <w:rsid w:val="005D1607"/>
    <w:rsid w:val="005D1C13"/>
    <w:rsid w:val="005D4422"/>
    <w:rsid w:val="005D5343"/>
    <w:rsid w:val="005D6BEE"/>
    <w:rsid w:val="005D7E88"/>
    <w:rsid w:val="005E27C9"/>
    <w:rsid w:val="005E3F14"/>
    <w:rsid w:val="005F0A8E"/>
    <w:rsid w:val="005F7CDC"/>
    <w:rsid w:val="00600059"/>
    <w:rsid w:val="00600EF6"/>
    <w:rsid w:val="00602CD3"/>
    <w:rsid w:val="00604BC3"/>
    <w:rsid w:val="00605A20"/>
    <w:rsid w:val="00606B39"/>
    <w:rsid w:val="0061175D"/>
    <w:rsid w:val="00612618"/>
    <w:rsid w:val="0061430D"/>
    <w:rsid w:val="0061547B"/>
    <w:rsid w:val="00616A84"/>
    <w:rsid w:val="00624DC0"/>
    <w:rsid w:val="0062648F"/>
    <w:rsid w:val="00631A31"/>
    <w:rsid w:val="006332C5"/>
    <w:rsid w:val="00634469"/>
    <w:rsid w:val="00634719"/>
    <w:rsid w:val="00635F6A"/>
    <w:rsid w:val="0064074F"/>
    <w:rsid w:val="00640F67"/>
    <w:rsid w:val="00643610"/>
    <w:rsid w:val="00646176"/>
    <w:rsid w:val="00646F9C"/>
    <w:rsid w:val="006479C0"/>
    <w:rsid w:val="00650957"/>
    <w:rsid w:val="00650FD8"/>
    <w:rsid w:val="00651847"/>
    <w:rsid w:val="00653B4B"/>
    <w:rsid w:val="00655CB7"/>
    <w:rsid w:val="00657728"/>
    <w:rsid w:val="00657E6D"/>
    <w:rsid w:val="00662B8B"/>
    <w:rsid w:val="00670795"/>
    <w:rsid w:val="00670D98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64ED"/>
    <w:rsid w:val="0068663D"/>
    <w:rsid w:val="00687646"/>
    <w:rsid w:val="006905E9"/>
    <w:rsid w:val="006955C8"/>
    <w:rsid w:val="00695CE7"/>
    <w:rsid w:val="006A1F86"/>
    <w:rsid w:val="006A3A21"/>
    <w:rsid w:val="006A46F9"/>
    <w:rsid w:val="006A57E4"/>
    <w:rsid w:val="006A7EE6"/>
    <w:rsid w:val="006B3277"/>
    <w:rsid w:val="006B4ED2"/>
    <w:rsid w:val="006C1080"/>
    <w:rsid w:val="006C2B10"/>
    <w:rsid w:val="006C536F"/>
    <w:rsid w:val="006C6C4F"/>
    <w:rsid w:val="006C7DF5"/>
    <w:rsid w:val="006D0AFD"/>
    <w:rsid w:val="006D2243"/>
    <w:rsid w:val="006D4256"/>
    <w:rsid w:val="006D5978"/>
    <w:rsid w:val="006D5CBC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20C0"/>
    <w:rsid w:val="006F271E"/>
    <w:rsid w:val="006F3B18"/>
    <w:rsid w:val="006F4639"/>
    <w:rsid w:val="006F4E5E"/>
    <w:rsid w:val="00701336"/>
    <w:rsid w:val="00702FE6"/>
    <w:rsid w:val="007032C7"/>
    <w:rsid w:val="00703791"/>
    <w:rsid w:val="00706631"/>
    <w:rsid w:val="00712BD1"/>
    <w:rsid w:val="00714528"/>
    <w:rsid w:val="00716256"/>
    <w:rsid w:val="00716433"/>
    <w:rsid w:val="00716779"/>
    <w:rsid w:val="00717914"/>
    <w:rsid w:val="00720454"/>
    <w:rsid w:val="00721439"/>
    <w:rsid w:val="00721AAA"/>
    <w:rsid w:val="00725066"/>
    <w:rsid w:val="00725D99"/>
    <w:rsid w:val="007309B5"/>
    <w:rsid w:val="00731195"/>
    <w:rsid w:val="00731774"/>
    <w:rsid w:val="00733B89"/>
    <w:rsid w:val="007344DE"/>
    <w:rsid w:val="0074057C"/>
    <w:rsid w:val="0074289B"/>
    <w:rsid w:val="00742B1D"/>
    <w:rsid w:val="007443C4"/>
    <w:rsid w:val="00746AF5"/>
    <w:rsid w:val="00750A10"/>
    <w:rsid w:val="007519A2"/>
    <w:rsid w:val="00752F42"/>
    <w:rsid w:val="0075306E"/>
    <w:rsid w:val="00753FE7"/>
    <w:rsid w:val="007546D5"/>
    <w:rsid w:val="00756ECD"/>
    <w:rsid w:val="00760993"/>
    <w:rsid w:val="0076140C"/>
    <w:rsid w:val="00763B3A"/>
    <w:rsid w:val="0076427B"/>
    <w:rsid w:val="007644F5"/>
    <w:rsid w:val="0077013F"/>
    <w:rsid w:val="0077119C"/>
    <w:rsid w:val="00771B08"/>
    <w:rsid w:val="00772F62"/>
    <w:rsid w:val="00773685"/>
    <w:rsid w:val="0077380F"/>
    <w:rsid w:val="007752C0"/>
    <w:rsid w:val="00775B84"/>
    <w:rsid w:val="007826D4"/>
    <w:rsid w:val="007843AA"/>
    <w:rsid w:val="00784612"/>
    <w:rsid w:val="00785733"/>
    <w:rsid w:val="0078712F"/>
    <w:rsid w:val="0078713A"/>
    <w:rsid w:val="007875DE"/>
    <w:rsid w:val="0078785D"/>
    <w:rsid w:val="00790981"/>
    <w:rsid w:val="007922A6"/>
    <w:rsid w:val="007947D9"/>
    <w:rsid w:val="0079555E"/>
    <w:rsid w:val="00797D60"/>
    <w:rsid w:val="007A10D6"/>
    <w:rsid w:val="007A2871"/>
    <w:rsid w:val="007A469E"/>
    <w:rsid w:val="007A478D"/>
    <w:rsid w:val="007A6654"/>
    <w:rsid w:val="007B1B46"/>
    <w:rsid w:val="007B5DE0"/>
    <w:rsid w:val="007C0477"/>
    <w:rsid w:val="007C115C"/>
    <w:rsid w:val="007C19D7"/>
    <w:rsid w:val="007C3421"/>
    <w:rsid w:val="007C38E0"/>
    <w:rsid w:val="007C4233"/>
    <w:rsid w:val="007C4D80"/>
    <w:rsid w:val="007C50CE"/>
    <w:rsid w:val="007C5E40"/>
    <w:rsid w:val="007C688A"/>
    <w:rsid w:val="007C6FD2"/>
    <w:rsid w:val="007D404F"/>
    <w:rsid w:val="007D5640"/>
    <w:rsid w:val="007D5F83"/>
    <w:rsid w:val="007D6E72"/>
    <w:rsid w:val="007D6FCA"/>
    <w:rsid w:val="007E2333"/>
    <w:rsid w:val="007E2A3F"/>
    <w:rsid w:val="007E319B"/>
    <w:rsid w:val="007E697B"/>
    <w:rsid w:val="007E6F03"/>
    <w:rsid w:val="007E7F9E"/>
    <w:rsid w:val="007F24D4"/>
    <w:rsid w:val="007F2524"/>
    <w:rsid w:val="007F3774"/>
    <w:rsid w:val="007F4894"/>
    <w:rsid w:val="007F6A41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1453"/>
    <w:rsid w:val="008118AA"/>
    <w:rsid w:val="00811B6F"/>
    <w:rsid w:val="008151C0"/>
    <w:rsid w:val="008178F2"/>
    <w:rsid w:val="00821F78"/>
    <w:rsid w:val="00822745"/>
    <w:rsid w:val="00822EA5"/>
    <w:rsid w:val="008245CE"/>
    <w:rsid w:val="008261B1"/>
    <w:rsid w:val="008262D2"/>
    <w:rsid w:val="00830118"/>
    <w:rsid w:val="00831806"/>
    <w:rsid w:val="00831F1E"/>
    <w:rsid w:val="00832B4C"/>
    <w:rsid w:val="00832D41"/>
    <w:rsid w:val="00832DD1"/>
    <w:rsid w:val="00833BE0"/>
    <w:rsid w:val="008356F9"/>
    <w:rsid w:val="00840448"/>
    <w:rsid w:val="008408EA"/>
    <w:rsid w:val="0084148C"/>
    <w:rsid w:val="008451A6"/>
    <w:rsid w:val="00846256"/>
    <w:rsid w:val="00846330"/>
    <w:rsid w:val="00851563"/>
    <w:rsid w:val="0085268C"/>
    <w:rsid w:val="00853D25"/>
    <w:rsid w:val="00854910"/>
    <w:rsid w:val="0085492B"/>
    <w:rsid w:val="008606EB"/>
    <w:rsid w:val="0086149B"/>
    <w:rsid w:val="008619D4"/>
    <w:rsid w:val="00872094"/>
    <w:rsid w:val="00873F81"/>
    <w:rsid w:val="0087515A"/>
    <w:rsid w:val="0087599B"/>
    <w:rsid w:val="008763CD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94397"/>
    <w:rsid w:val="00897701"/>
    <w:rsid w:val="008A106C"/>
    <w:rsid w:val="008A1B1B"/>
    <w:rsid w:val="008A4935"/>
    <w:rsid w:val="008A4BC9"/>
    <w:rsid w:val="008A574E"/>
    <w:rsid w:val="008A5D8B"/>
    <w:rsid w:val="008A611F"/>
    <w:rsid w:val="008B0427"/>
    <w:rsid w:val="008B208D"/>
    <w:rsid w:val="008B2DEB"/>
    <w:rsid w:val="008B3D16"/>
    <w:rsid w:val="008B52B9"/>
    <w:rsid w:val="008B70F7"/>
    <w:rsid w:val="008B7B7D"/>
    <w:rsid w:val="008C0FF5"/>
    <w:rsid w:val="008C10AB"/>
    <w:rsid w:val="008C190D"/>
    <w:rsid w:val="008C341B"/>
    <w:rsid w:val="008C3DDA"/>
    <w:rsid w:val="008C3E8F"/>
    <w:rsid w:val="008C3F3B"/>
    <w:rsid w:val="008C5853"/>
    <w:rsid w:val="008C632A"/>
    <w:rsid w:val="008D2918"/>
    <w:rsid w:val="008D3966"/>
    <w:rsid w:val="008D3E17"/>
    <w:rsid w:val="008D4486"/>
    <w:rsid w:val="008D5264"/>
    <w:rsid w:val="008D5B84"/>
    <w:rsid w:val="008E0380"/>
    <w:rsid w:val="008E1ADA"/>
    <w:rsid w:val="008E311B"/>
    <w:rsid w:val="008E324F"/>
    <w:rsid w:val="008E33BF"/>
    <w:rsid w:val="008E43AD"/>
    <w:rsid w:val="008F0AE3"/>
    <w:rsid w:val="008F237C"/>
    <w:rsid w:val="008F3B74"/>
    <w:rsid w:val="00903F12"/>
    <w:rsid w:val="009057A6"/>
    <w:rsid w:val="00905855"/>
    <w:rsid w:val="00905CCA"/>
    <w:rsid w:val="00907A0F"/>
    <w:rsid w:val="00907F68"/>
    <w:rsid w:val="009104FC"/>
    <w:rsid w:val="00911352"/>
    <w:rsid w:val="0091513C"/>
    <w:rsid w:val="00916667"/>
    <w:rsid w:val="00916A9F"/>
    <w:rsid w:val="00921741"/>
    <w:rsid w:val="00921F45"/>
    <w:rsid w:val="009227C8"/>
    <w:rsid w:val="009259B6"/>
    <w:rsid w:val="009272E3"/>
    <w:rsid w:val="00930466"/>
    <w:rsid w:val="00931B52"/>
    <w:rsid w:val="00932ADB"/>
    <w:rsid w:val="009342F1"/>
    <w:rsid w:val="00935D16"/>
    <w:rsid w:val="00941B0A"/>
    <w:rsid w:val="0094254F"/>
    <w:rsid w:val="00942B91"/>
    <w:rsid w:val="009463D3"/>
    <w:rsid w:val="009464C4"/>
    <w:rsid w:val="009470A8"/>
    <w:rsid w:val="0094730C"/>
    <w:rsid w:val="00950B4C"/>
    <w:rsid w:val="00950F74"/>
    <w:rsid w:val="0095485F"/>
    <w:rsid w:val="00954F38"/>
    <w:rsid w:val="00956E54"/>
    <w:rsid w:val="009577C8"/>
    <w:rsid w:val="00961E95"/>
    <w:rsid w:val="00963003"/>
    <w:rsid w:val="00963455"/>
    <w:rsid w:val="009676E8"/>
    <w:rsid w:val="00972F1F"/>
    <w:rsid w:val="00976352"/>
    <w:rsid w:val="0097692F"/>
    <w:rsid w:val="009800D4"/>
    <w:rsid w:val="00982802"/>
    <w:rsid w:val="00983F07"/>
    <w:rsid w:val="00984B43"/>
    <w:rsid w:val="0098759D"/>
    <w:rsid w:val="009919D2"/>
    <w:rsid w:val="009940B6"/>
    <w:rsid w:val="00994781"/>
    <w:rsid w:val="00995A60"/>
    <w:rsid w:val="0099726F"/>
    <w:rsid w:val="0099798A"/>
    <w:rsid w:val="009A278C"/>
    <w:rsid w:val="009A2C41"/>
    <w:rsid w:val="009A604B"/>
    <w:rsid w:val="009A7042"/>
    <w:rsid w:val="009B0AA6"/>
    <w:rsid w:val="009B2601"/>
    <w:rsid w:val="009B3B1C"/>
    <w:rsid w:val="009B3BA6"/>
    <w:rsid w:val="009B4764"/>
    <w:rsid w:val="009B63EE"/>
    <w:rsid w:val="009B6E3D"/>
    <w:rsid w:val="009B76B9"/>
    <w:rsid w:val="009C093A"/>
    <w:rsid w:val="009C56C1"/>
    <w:rsid w:val="009C5AC2"/>
    <w:rsid w:val="009D0933"/>
    <w:rsid w:val="009D194E"/>
    <w:rsid w:val="009D282F"/>
    <w:rsid w:val="009D2F2C"/>
    <w:rsid w:val="009D533C"/>
    <w:rsid w:val="009D6045"/>
    <w:rsid w:val="009D6E94"/>
    <w:rsid w:val="009E12CC"/>
    <w:rsid w:val="009E2FE5"/>
    <w:rsid w:val="009E36B0"/>
    <w:rsid w:val="009E3F06"/>
    <w:rsid w:val="009E44C1"/>
    <w:rsid w:val="009E6F78"/>
    <w:rsid w:val="009F1ABD"/>
    <w:rsid w:val="009F5E87"/>
    <w:rsid w:val="009F6962"/>
    <w:rsid w:val="00A0003B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5373"/>
    <w:rsid w:val="00A254F2"/>
    <w:rsid w:val="00A26AE3"/>
    <w:rsid w:val="00A26B24"/>
    <w:rsid w:val="00A2784B"/>
    <w:rsid w:val="00A27BF4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5EDD"/>
    <w:rsid w:val="00A51FCD"/>
    <w:rsid w:val="00A5300C"/>
    <w:rsid w:val="00A53818"/>
    <w:rsid w:val="00A53C01"/>
    <w:rsid w:val="00A5404D"/>
    <w:rsid w:val="00A54920"/>
    <w:rsid w:val="00A57033"/>
    <w:rsid w:val="00A57074"/>
    <w:rsid w:val="00A60282"/>
    <w:rsid w:val="00A63A90"/>
    <w:rsid w:val="00A65DF1"/>
    <w:rsid w:val="00A664C7"/>
    <w:rsid w:val="00A677A0"/>
    <w:rsid w:val="00A71113"/>
    <w:rsid w:val="00A7457A"/>
    <w:rsid w:val="00A74605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FCB"/>
    <w:rsid w:val="00A962B3"/>
    <w:rsid w:val="00A9689B"/>
    <w:rsid w:val="00A97052"/>
    <w:rsid w:val="00AA0BAB"/>
    <w:rsid w:val="00AA26BF"/>
    <w:rsid w:val="00AA2E71"/>
    <w:rsid w:val="00AA2E87"/>
    <w:rsid w:val="00AA58D4"/>
    <w:rsid w:val="00AA6FB2"/>
    <w:rsid w:val="00AA6FF9"/>
    <w:rsid w:val="00AA720C"/>
    <w:rsid w:val="00AB5549"/>
    <w:rsid w:val="00AB667D"/>
    <w:rsid w:val="00AC0CB3"/>
    <w:rsid w:val="00AC2883"/>
    <w:rsid w:val="00AC30E1"/>
    <w:rsid w:val="00AC607B"/>
    <w:rsid w:val="00AC6147"/>
    <w:rsid w:val="00AC6590"/>
    <w:rsid w:val="00AC6E89"/>
    <w:rsid w:val="00AC7A71"/>
    <w:rsid w:val="00AD00E1"/>
    <w:rsid w:val="00AD5365"/>
    <w:rsid w:val="00AD6D3E"/>
    <w:rsid w:val="00AE0D42"/>
    <w:rsid w:val="00AE36B4"/>
    <w:rsid w:val="00AE37DE"/>
    <w:rsid w:val="00AE431E"/>
    <w:rsid w:val="00AE5D98"/>
    <w:rsid w:val="00AE65F0"/>
    <w:rsid w:val="00AE6A30"/>
    <w:rsid w:val="00AF0E81"/>
    <w:rsid w:val="00AF26D1"/>
    <w:rsid w:val="00AF38D4"/>
    <w:rsid w:val="00AF391C"/>
    <w:rsid w:val="00AF4C30"/>
    <w:rsid w:val="00AF4D17"/>
    <w:rsid w:val="00AF565E"/>
    <w:rsid w:val="00AF7050"/>
    <w:rsid w:val="00B01CBE"/>
    <w:rsid w:val="00B0376E"/>
    <w:rsid w:val="00B03DB0"/>
    <w:rsid w:val="00B04883"/>
    <w:rsid w:val="00B057BA"/>
    <w:rsid w:val="00B06CA8"/>
    <w:rsid w:val="00B10FDB"/>
    <w:rsid w:val="00B13BCE"/>
    <w:rsid w:val="00B1416F"/>
    <w:rsid w:val="00B24E1B"/>
    <w:rsid w:val="00B24F5A"/>
    <w:rsid w:val="00B25A23"/>
    <w:rsid w:val="00B30A8E"/>
    <w:rsid w:val="00B30C34"/>
    <w:rsid w:val="00B31E2C"/>
    <w:rsid w:val="00B33CBC"/>
    <w:rsid w:val="00B3618A"/>
    <w:rsid w:val="00B37D6F"/>
    <w:rsid w:val="00B41B18"/>
    <w:rsid w:val="00B436A9"/>
    <w:rsid w:val="00B44E38"/>
    <w:rsid w:val="00B46DE8"/>
    <w:rsid w:val="00B54925"/>
    <w:rsid w:val="00B54D40"/>
    <w:rsid w:val="00B54FCD"/>
    <w:rsid w:val="00B63099"/>
    <w:rsid w:val="00B630B9"/>
    <w:rsid w:val="00B63B1F"/>
    <w:rsid w:val="00B67A87"/>
    <w:rsid w:val="00B70518"/>
    <w:rsid w:val="00B712F5"/>
    <w:rsid w:val="00B71BEC"/>
    <w:rsid w:val="00B722C8"/>
    <w:rsid w:val="00B7279B"/>
    <w:rsid w:val="00B74ED3"/>
    <w:rsid w:val="00B80277"/>
    <w:rsid w:val="00B83D0A"/>
    <w:rsid w:val="00B83FA1"/>
    <w:rsid w:val="00B87155"/>
    <w:rsid w:val="00B91141"/>
    <w:rsid w:val="00B91F76"/>
    <w:rsid w:val="00B946E0"/>
    <w:rsid w:val="00B965CE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B2890"/>
    <w:rsid w:val="00BC1A38"/>
    <w:rsid w:val="00BC279F"/>
    <w:rsid w:val="00BC2971"/>
    <w:rsid w:val="00BC2D0C"/>
    <w:rsid w:val="00BC31A1"/>
    <w:rsid w:val="00BC5540"/>
    <w:rsid w:val="00BC641B"/>
    <w:rsid w:val="00BC6622"/>
    <w:rsid w:val="00BD1008"/>
    <w:rsid w:val="00BD7461"/>
    <w:rsid w:val="00BE1EA9"/>
    <w:rsid w:val="00BE2229"/>
    <w:rsid w:val="00BE454D"/>
    <w:rsid w:val="00BE4BE0"/>
    <w:rsid w:val="00BE5408"/>
    <w:rsid w:val="00BE6868"/>
    <w:rsid w:val="00BE7F1F"/>
    <w:rsid w:val="00BF10D1"/>
    <w:rsid w:val="00BF7A96"/>
    <w:rsid w:val="00C0031F"/>
    <w:rsid w:val="00C014A5"/>
    <w:rsid w:val="00C01D51"/>
    <w:rsid w:val="00C01E66"/>
    <w:rsid w:val="00C02261"/>
    <w:rsid w:val="00C02285"/>
    <w:rsid w:val="00C0323C"/>
    <w:rsid w:val="00C039C1"/>
    <w:rsid w:val="00C03F92"/>
    <w:rsid w:val="00C04607"/>
    <w:rsid w:val="00C04733"/>
    <w:rsid w:val="00C04B70"/>
    <w:rsid w:val="00C067FF"/>
    <w:rsid w:val="00C068FC"/>
    <w:rsid w:val="00C07336"/>
    <w:rsid w:val="00C13AD4"/>
    <w:rsid w:val="00C14CD4"/>
    <w:rsid w:val="00C168A0"/>
    <w:rsid w:val="00C21723"/>
    <w:rsid w:val="00C310FF"/>
    <w:rsid w:val="00C32BF6"/>
    <w:rsid w:val="00C33A0E"/>
    <w:rsid w:val="00C347B2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B44"/>
    <w:rsid w:val="00C56F1D"/>
    <w:rsid w:val="00C57163"/>
    <w:rsid w:val="00C579ED"/>
    <w:rsid w:val="00C6135C"/>
    <w:rsid w:val="00C61A88"/>
    <w:rsid w:val="00C636A4"/>
    <w:rsid w:val="00C66AAD"/>
    <w:rsid w:val="00C66CC4"/>
    <w:rsid w:val="00C67E1B"/>
    <w:rsid w:val="00C703B3"/>
    <w:rsid w:val="00C729F6"/>
    <w:rsid w:val="00C75177"/>
    <w:rsid w:val="00C7614D"/>
    <w:rsid w:val="00C779C3"/>
    <w:rsid w:val="00C77DC2"/>
    <w:rsid w:val="00C81207"/>
    <w:rsid w:val="00C8164C"/>
    <w:rsid w:val="00C816DA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A296E"/>
    <w:rsid w:val="00CA3915"/>
    <w:rsid w:val="00CA40E6"/>
    <w:rsid w:val="00CA6354"/>
    <w:rsid w:val="00CA6B5B"/>
    <w:rsid w:val="00CB758F"/>
    <w:rsid w:val="00CC0EC0"/>
    <w:rsid w:val="00CC3C66"/>
    <w:rsid w:val="00CC576C"/>
    <w:rsid w:val="00CD0421"/>
    <w:rsid w:val="00CD2F7F"/>
    <w:rsid w:val="00CD32F3"/>
    <w:rsid w:val="00CD4977"/>
    <w:rsid w:val="00CE4138"/>
    <w:rsid w:val="00CE45FE"/>
    <w:rsid w:val="00CE6060"/>
    <w:rsid w:val="00CE6FA7"/>
    <w:rsid w:val="00CF2A1F"/>
    <w:rsid w:val="00CF59D6"/>
    <w:rsid w:val="00CF5AF3"/>
    <w:rsid w:val="00CF60C3"/>
    <w:rsid w:val="00CF728D"/>
    <w:rsid w:val="00CF7D94"/>
    <w:rsid w:val="00D00E33"/>
    <w:rsid w:val="00D05519"/>
    <w:rsid w:val="00D058C3"/>
    <w:rsid w:val="00D11240"/>
    <w:rsid w:val="00D12314"/>
    <w:rsid w:val="00D130AE"/>
    <w:rsid w:val="00D14622"/>
    <w:rsid w:val="00D14DBF"/>
    <w:rsid w:val="00D16C01"/>
    <w:rsid w:val="00D174B2"/>
    <w:rsid w:val="00D2146B"/>
    <w:rsid w:val="00D24ABF"/>
    <w:rsid w:val="00D3088F"/>
    <w:rsid w:val="00D3443A"/>
    <w:rsid w:val="00D34CF6"/>
    <w:rsid w:val="00D355F5"/>
    <w:rsid w:val="00D36BBE"/>
    <w:rsid w:val="00D3792E"/>
    <w:rsid w:val="00D40048"/>
    <w:rsid w:val="00D400A8"/>
    <w:rsid w:val="00D41DFD"/>
    <w:rsid w:val="00D4308E"/>
    <w:rsid w:val="00D47C19"/>
    <w:rsid w:val="00D50667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2B7E"/>
    <w:rsid w:val="00D62E80"/>
    <w:rsid w:val="00D63432"/>
    <w:rsid w:val="00D6438E"/>
    <w:rsid w:val="00D645DB"/>
    <w:rsid w:val="00D7080E"/>
    <w:rsid w:val="00D727A2"/>
    <w:rsid w:val="00D75F2F"/>
    <w:rsid w:val="00D77AB0"/>
    <w:rsid w:val="00D83900"/>
    <w:rsid w:val="00D840B5"/>
    <w:rsid w:val="00D8509D"/>
    <w:rsid w:val="00D901CA"/>
    <w:rsid w:val="00D90295"/>
    <w:rsid w:val="00D922D9"/>
    <w:rsid w:val="00D92A7A"/>
    <w:rsid w:val="00D93A2B"/>
    <w:rsid w:val="00D93D4B"/>
    <w:rsid w:val="00D943C9"/>
    <w:rsid w:val="00D9611E"/>
    <w:rsid w:val="00D96242"/>
    <w:rsid w:val="00D96A4A"/>
    <w:rsid w:val="00DA1CC7"/>
    <w:rsid w:val="00DA24A7"/>
    <w:rsid w:val="00DA2923"/>
    <w:rsid w:val="00DA3467"/>
    <w:rsid w:val="00DA39E6"/>
    <w:rsid w:val="00DA4D73"/>
    <w:rsid w:val="00DB0ECE"/>
    <w:rsid w:val="00DB133A"/>
    <w:rsid w:val="00DB13EA"/>
    <w:rsid w:val="00DB63C4"/>
    <w:rsid w:val="00DB671C"/>
    <w:rsid w:val="00DB7783"/>
    <w:rsid w:val="00DC1706"/>
    <w:rsid w:val="00DC3FDD"/>
    <w:rsid w:val="00DC3FED"/>
    <w:rsid w:val="00DC4758"/>
    <w:rsid w:val="00DC7AD6"/>
    <w:rsid w:val="00DC7C81"/>
    <w:rsid w:val="00DD0ADB"/>
    <w:rsid w:val="00DD0E56"/>
    <w:rsid w:val="00DD235D"/>
    <w:rsid w:val="00DD4774"/>
    <w:rsid w:val="00DD4A67"/>
    <w:rsid w:val="00DD4D17"/>
    <w:rsid w:val="00DD4E68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6B2A"/>
    <w:rsid w:val="00DF7C13"/>
    <w:rsid w:val="00E003FC"/>
    <w:rsid w:val="00E003FD"/>
    <w:rsid w:val="00E0331D"/>
    <w:rsid w:val="00E042AE"/>
    <w:rsid w:val="00E04A9E"/>
    <w:rsid w:val="00E05A2D"/>
    <w:rsid w:val="00E05D63"/>
    <w:rsid w:val="00E06C97"/>
    <w:rsid w:val="00E114F3"/>
    <w:rsid w:val="00E1287D"/>
    <w:rsid w:val="00E14702"/>
    <w:rsid w:val="00E14D1B"/>
    <w:rsid w:val="00E15653"/>
    <w:rsid w:val="00E15AB6"/>
    <w:rsid w:val="00E16652"/>
    <w:rsid w:val="00E17284"/>
    <w:rsid w:val="00E21D57"/>
    <w:rsid w:val="00E254E7"/>
    <w:rsid w:val="00E27759"/>
    <w:rsid w:val="00E30BCC"/>
    <w:rsid w:val="00E32039"/>
    <w:rsid w:val="00E33673"/>
    <w:rsid w:val="00E337EF"/>
    <w:rsid w:val="00E33D5A"/>
    <w:rsid w:val="00E344BA"/>
    <w:rsid w:val="00E34FFB"/>
    <w:rsid w:val="00E356B6"/>
    <w:rsid w:val="00E37FDC"/>
    <w:rsid w:val="00E42FA4"/>
    <w:rsid w:val="00E44A77"/>
    <w:rsid w:val="00E47A8D"/>
    <w:rsid w:val="00E5295E"/>
    <w:rsid w:val="00E55A60"/>
    <w:rsid w:val="00E6020E"/>
    <w:rsid w:val="00E61AC0"/>
    <w:rsid w:val="00E61B70"/>
    <w:rsid w:val="00E659D1"/>
    <w:rsid w:val="00E65E29"/>
    <w:rsid w:val="00E7266B"/>
    <w:rsid w:val="00E72D25"/>
    <w:rsid w:val="00E832A8"/>
    <w:rsid w:val="00E84B56"/>
    <w:rsid w:val="00E86144"/>
    <w:rsid w:val="00E861C3"/>
    <w:rsid w:val="00E87E0A"/>
    <w:rsid w:val="00E9137A"/>
    <w:rsid w:val="00E91F29"/>
    <w:rsid w:val="00E93820"/>
    <w:rsid w:val="00E94417"/>
    <w:rsid w:val="00EA2B26"/>
    <w:rsid w:val="00EA4B59"/>
    <w:rsid w:val="00EA7D19"/>
    <w:rsid w:val="00EB151F"/>
    <w:rsid w:val="00EB1B03"/>
    <w:rsid w:val="00EB241A"/>
    <w:rsid w:val="00EB330E"/>
    <w:rsid w:val="00EB54AD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0A6D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3AD"/>
    <w:rsid w:val="00EE5952"/>
    <w:rsid w:val="00EE682F"/>
    <w:rsid w:val="00EE6B68"/>
    <w:rsid w:val="00EF30F2"/>
    <w:rsid w:val="00EF45B1"/>
    <w:rsid w:val="00EF46B9"/>
    <w:rsid w:val="00EF6790"/>
    <w:rsid w:val="00F00874"/>
    <w:rsid w:val="00F00ABF"/>
    <w:rsid w:val="00F01017"/>
    <w:rsid w:val="00F0118E"/>
    <w:rsid w:val="00F0395D"/>
    <w:rsid w:val="00F052F7"/>
    <w:rsid w:val="00F054BF"/>
    <w:rsid w:val="00F0715C"/>
    <w:rsid w:val="00F101C3"/>
    <w:rsid w:val="00F13C8A"/>
    <w:rsid w:val="00F143BC"/>
    <w:rsid w:val="00F1540D"/>
    <w:rsid w:val="00F1765E"/>
    <w:rsid w:val="00F1798C"/>
    <w:rsid w:val="00F2135C"/>
    <w:rsid w:val="00F222FF"/>
    <w:rsid w:val="00F252C8"/>
    <w:rsid w:val="00F27A2E"/>
    <w:rsid w:val="00F30956"/>
    <w:rsid w:val="00F3116F"/>
    <w:rsid w:val="00F34016"/>
    <w:rsid w:val="00F3466D"/>
    <w:rsid w:val="00F35807"/>
    <w:rsid w:val="00F359CD"/>
    <w:rsid w:val="00F4160F"/>
    <w:rsid w:val="00F42354"/>
    <w:rsid w:val="00F425F1"/>
    <w:rsid w:val="00F42B77"/>
    <w:rsid w:val="00F466C8"/>
    <w:rsid w:val="00F47832"/>
    <w:rsid w:val="00F507D9"/>
    <w:rsid w:val="00F52D51"/>
    <w:rsid w:val="00F53BAF"/>
    <w:rsid w:val="00F54A25"/>
    <w:rsid w:val="00F55935"/>
    <w:rsid w:val="00F56CF2"/>
    <w:rsid w:val="00F6017B"/>
    <w:rsid w:val="00F6083B"/>
    <w:rsid w:val="00F611DB"/>
    <w:rsid w:val="00F637FD"/>
    <w:rsid w:val="00F6447D"/>
    <w:rsid w:val="00F653E4"/>
    <w:rsid w:val="00F70FEA"/>
    <w:rsid w:val="00F71ABD"/>
    <w:rsid w:val="00F728BA"/>
    <w:rsid w:val="00F729D4"/>
    <w:rsid w:val="00F74242"/>
    <w:rsid w:val="00F82461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C3EC2"/>
    <w:rsid w:val="00FC7656"/>
    <w:rsid w:val="00FD3213"/>
    <w:rsid w:val="00FD4B33"/>
    <w:rsid w:val="00FD6AD6"/>
    <w:rsid w:val="00FD7D97"/>
    <w:rsid w:val="00FE0B86"/>
    <w:rsid w:val="00FE30B0"/>
    <w:rsid w:val="00FE5E3F"/>
    <w:rsid w:val="00FE6947"/>
    <w:rsid w:val="00FE7550"/>
    <w:rsid w:val="00FF0973"/>
    <w:rsid w:val="00FF0F38"/>
    <w:rsid w:val="00FF3E0B"/>
    <w:rsid w:val="00FF530E"/>
    <w:rsid w:val="00FF6D7C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47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7A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7A8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7A8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9E8F-33D6-46CB-ABB3-AFD1FEC8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8786</Words>
  <Characters>50081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2019-05-21T08:02:00Z</cp:lastPrinted>
  <dcterms:created xsi:type="dcterms:W3CDTF">2019-05-21T08:23:00Z</dcterms:created>
  <dcterms:modified xsi:type="dcterms:W3CDTF">2019-05-21T08:23:00Z</dcterms:modified>
</cp:coreProperties>
</file>